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B48" w:rsidRDefault="0089726F" w:rsidP="00A63D8E">
      <w:pPr>
        <w:pStyle w:val="CommentText"/>
        <w:rPr>
          <w:highlight w:val="yellow"/>
        </w:rPr>
      </w:pPr>
      <w:r w:rsidRPr="00404A81">
        <w:rPr>
          <w:noProof/>
          <w:lang w:eastAsia="en-AU"/>
        </w:rPr>
        <mc:AlternateContent>
          <mc:Choice Requires="wps">
            <w:drawing>
              <wp:anchor distT="0" distB="0" distL="114300" distR="114300" simplePos="0" relativeHeight="251659264" behindDoc="1" locked="0" layoutInCell="1" allowOverlap="1" wp14:anchorId="252317FE" wp14:editId="4E5C3E12">
                <wp:simplePos x="0" y="0"/>
                <wp:positionH relativeFrom="column">
                  <wp:posOffset>-723486</wp:posOffset>
                </wp:positionH>
                <wp:positionV relativeFrom="paragraph">
                  <wp:posOffset>-591185</wp:posOffset>
                </wp:positionV>
                <wp:extent cx="7058025" cy="101631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058025" cy="101631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56.95pt;margin-top:-46.55pt;width:555.75pt;height:800.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" fillcolor="#d5d6d2 [3214]" stroked="f" strokeweight="2pt"/>
            </w:pict>
          </mc:Fallback>
        </mc:AlternateContent>
      </w:r>
      <w:r w:rsidR="00A36AF3" w:rsidRPr="00404A81">
        <w:rPr>
          <w:noProof/>
          <w:lang w:eastAsia="en-AU"/>
        </w:rPr>
        <w:drawing>
          <wp:inline distT="0" distB="0" distL="0" distR="0" wp14:anchorId="27241E5B" wp14:editId="2FAD4454">
            <wp:extent cx="2725235" cy="609600"/>
            <wp:effectExtent l="0" t="0" r="0" b="0"/>
            <wp:docPr id="4" name="Picture 4" title="A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C+GovtCrest_PMS286_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028" cy="609330"/>
                    </a:xfrm>
                    <a:prstGeom prst="rect">
                      <a:avLst/>
                    </a:prstGeom>
                  </pic:spPr>
                </pic:pic>
              </a:graphicData>
            </a:graphic>
          </wp:inline>
        </w:drawing>
      </w:r>
    </w:p>
    <w:p w:rsidR="009D7B48" w:rsidRPr="00646225" w:rsidRDefault="009D7B48" w:rsidP="00646225">
      <w:pPr>
        <w:rPr>
          <w:highlight w:val="yellow"/>
        </w:rPr>
      </w:pPr>
    </w:p>
    <w:tbl>
      <w:tblPr>
        <w:tblStyle w:val="TableGrid"/>
        <w:tblpPr w:leftFromText="180" w:rightFromText="180" w:vertAnchor="text" w:horzAnchor="margin" w:tblpY="-68"/>
        <w:tblW w:w="0" w:type="auto"/>
        <w:tblBorders>
          <w:top w:val="none" w:sz="0" w:space="0" w:color="auto"/>
          <w:bottom w:val="none" w:sz="0" w:space="0" w:color="auto"/>
        </w:tblBorders>
        <w:tblLook w:val="0400" w:firstRow="0" w:lastRow="0" w:firstColumn="0" w:lastColumn="0" w:noHBand="0" w:noVBand="1"/>
      </w:tblPr>
      <w:tblGrid>
        <w:gridCol w:w="9242"/>
      </w:tblGrid>
      <w:tr w:rsidR="00A36AF3" w:rsidRPr="00404A81" w:rsidTr="00A36AF3">
        <w:trPr>
          <w:trHeight w:val="3135"/>
        </w:trPr>
        <w:tc>
          <w:tcPr>
            <w:tcW w:w="9242" w:type="dxa"/>
          </w:tcPr>
          <w:p w:rsidR="00A36AF3" w:rsidRPr="00404A81" w:rsidRDefault="00A36AF3" w:rsidP="00A36AF3">
            <w:pPr>
              <w:spacing w:before="720"/>
              <w:contextualSpacing/>
              <w:outlineLvl w:val="0"/>
              <w:rPr>
                <w:rFonts w:asciiTheme="majorHAnsi" w:eastAsiaTheme="majorEastAsia" w:hAnsiTheme="majorHAnsi" w:cstheme="majorBidi"/>
                <w:color w:val="4F2D7D" w:themeColor="accent2"/>
                <w:spacing w:val="5"/>
                <w:kern w:val="28"/>
                <w:sz w:val="72"/>
                <w:szCs w:val="52"/>
              </w:rPr>
            </w:pPr>
          </w:p>
        </w:tc>
      </w:tr>
      <w:tr w:rsidR="00A36AF3" w:rsidRPr="00404A81" w:rsidTr="00A36AF3">
        <w:tc>
          <w:tcPr>
            <w:tcW w:w="9242" w:type="dxa"/>
          </w:tcPr>
          <w:p w:rsidR="00A36AF3" w:rsidRPr="00404A81" w:rsidRDefault="00A36AF3" w:rsidP="00A36AF3">
            <w:pPr>
              <w:pStyle w:val="Title"/>
            </w:pPr>
            <w:bookmarkStart w:id="0" w:name="_Toc483910575"/>
            <w:bookmarkStart w:id="1" w:name="_Toc485303321"/>
            <w:r w:rsidRPr="00404A81">
              <w:t>ACCC water monitoring report 201</w:t>
            </w:r>
            <w:r>
              <w:t>5</w:t>
            </w:r>
            <w:r w:rsidRPr="00404A81">
              <w:t>–1</w:t>
            </w:r>
            <w:r>
              <w:t>6 – monitoring approach and assumptions</w:t>
            </w:r>
            <w:bookmarkEnd w:id="0"/>
            <w:bookmarkEnd w:id="1"/>
          </w:p>
        </w:tc>
      </w:tr>
      <w:tr w:rsidR="00A36AF3" w:rsidRPr="00404A81" w:rsidTr="00A36AF3">
        <w:tc>
          <w:tcPr>
            <w:tcW w:w="9242" w:type="dxa"/>
          </w:tcPr>
          <w:p w:rsidR="00A36AF3" w:rsidRPr="00863195" w:rsidRDefault="00A36AF3" w:rsidP="00A36AF3">
            <w:r w:rsidRPr="00863195">
              <w:t xml:space="preserve">This document accompanies the Australian Competition and Consumer </w:t>
            </w:r>
            <w:r>
              <w:t>Commission</w:t>
            </w:r>
            <w:r w:rsidRPr="00863195">
              <w:t xml:space="preserve"> (ACCC) Water Monitoring Report</w:t>
            </w:r>
            <w:r>
              <w:t xml:space="preserve"> </w:t>
            </w:r>
            <w:r w:rsidRPr="00863195">
              <w:t>2015−16. It sets out the ACCC’s approach to monitoring, assumptions used for the calculation of hypothetical bills analysis provided in the report, and additional information.</w:t>
            </w:r>
          </w:p>
          <w:p w:rsidR="00A36AF3" w:rsidRDefault="00A36AF3" w:rsidP="00A36AF3">
            <w:pPr>
              <w:pStyle w:val="CoverDate"/>
            </w:pPr>
          </w:p>
          <w:p w:rsidR="00A36AF3" w:rsidRPr="00404A81" w:rsidRDefault="00A36AF3" w:rsidP="00A36AF3">
            <w:pPr>
              <w:pStyle w:val="CoverDate"/>
            </w:pPr>
            <w:r>
              <w:t>June</w:t>
            </w:r>
            <w:r w:rsidRPr="00404A81">
              <w:t xml:space="preserve"> 201</w:t>
            </w:r>
            <w:r>
              <w:t>7</w:t>
            </w:r>
          </w:p>
        </w:tc>
      </w:tr>
    </w:tbl>
    <w:p w:rsidR="00116E11" w:rsidRPr="00646225" w:rsidRDefault="00DF7833" w:rsidP="00646225">
      <w:pPr>
        <w:rPr>
          <w:highlight w:val="yellow"/>
        </w:rPr>
      </w:pPr>
      <w:r w:rsidRPr="00646225">
        <w:rPr>
          <w:highlight w:val="yellow"/>
        </w:rPr>
        <w:t xml:space="preserve">  </w:t>
      </w:r>
      <w:r w:rsidR="00116E11" w:rsidRPr="00646225">
        <w:rPr>
          <w:highlight w:val="yellow"/>
        </w:rPr>
        <w:t xml:space="preserve"> </w:t>
      </w:r>
    </w:p>
    <w:sdt>
      <w:sdtPr>
        <w:rPr>
          <w:color w:val="51626F" w:themeColor="accent1"/>
          <w:sz w:val="16"/>
          <w:szCs w:val="16"/>
          <w:highlight w:val="yellow"/>
        </w:rPr>
        <w:id w:val="-33892015"/>
        <w:docPartObj>
          <w:docPartGallery w:val="Cover Pages"/>
          <w:docPartUnique/>
        </w:docPartObj>
      </w:sdtPr>
      <w:sdtContent>
        <w:p w:rsidR="00687F39" w:rsidRPr="00404A81" w:rsidRDefault="00687F39" w:rsidP="00646225"/>
        <w:p w:rsidR="00687F39" w:rsidRPr="00404A81" w:rsidRDefault="00687F39" w:rsidP="00181223"/>
        <w:p w:rsidR="00F36AB1" w:rsidRDefault="00F36AB1">
          <w:r>
            <w:br w:type="page"/>
          </w:r>
        </w:p>
        <w:sdt>
          <w:sdtPr>
            <w:rPr>
              <w:bCs/>
              <w:noProof w:val="0"/>
              <w:lang w:val="en-AU" w:eastAsia="en-US"/>
            </w:rPr>
            <w:id w:val="1169761255"/>
            <w:docPartObj>
              <w:docPartGallery w:val="Table of Contents"/>
              <w:docPartUnique/>
            </w:docPartObj>
          </w:sdtPr>
          <w:sdtEndPr>
            <w:rPr>
              <w:bCs w:val="0"/>
            </w:rPr>
          </w:sdtEndPr>
          <w:sdtContent>
            <w:p w:rsidR="0089726F" w:rsidRDefault="009F2BE5">
              <w:pPr>
                <w:pStyle w:val="TOC1"/>
                <w:rPr>
                  <w:rFonts w:asciiTheme="minorHAnsi" w:eastAsiaTheme="minorEastAsia" w:hAnsiTheme="minorHAnsi"/>
                  <w:lang w:val="en-AU" w:eastAsia="en-AU"/>
                </w:rPr>
              </w:pPr>
              <w:r w:rsidRPr="00A63D8E">
                <w:rPr>
                  <w:rStyle w:val="Heading1Char"/>
                </w:rPr>
                <w:t>Contents</w:t>
              </w:r>
              <w:r w:rsidR="00DE276F">
                <w:rPr>
                  <w:rStyle w:val="Heading1Char"/>
                </w:rPr>
                <w:t xml:space="preserve">                                                                          </w:t>
              </w:r>
              <w:r w:rsidRPr="00404A81">
                <w:rPr>
                  <w:rFonts w:ascii="Lucida Fax" w:eastAsiaTheme="majorEastAsia" w:hAnsi="Lucida Fax" w:cstheme="majorBidi"/>
                  <w:bCs/>
                  <w:color w:val="51626F"/>
                  <w:sz w:val="32"/>
                  <w:szCs w:val="28"/>
                </w:rPr>
                <w:fldChar w:fldCharType="begin"/>
              </w:r>
              <w:r w:rsidRPr="00404A81">
                <w:instrText xml:space="preserve"> TOC \o "1-3" \h \z \u \t "Heading 6,1" </w:instrText>
              </w:r>
              <w:r w:rsidRPr="00404A81">
                <w:rPr>
                  <w:rFonts w:ascii="Lucida Fax" w:eastAsiaTheme="majorEastAsia" w:hAnsi="Lucida Fax" w:cstheme="majorBidi"/>
                  <w:bCs/>
                  <w:color w:val="51626F"/>
                  <w:sz w:val="32"/>
                  <w:szCs w:val="28"/>
                </w:rPr>
                <w:fldChar w:fldCharType="separate"/>
              </w:r>
              <w:hyperlink w:anchor="_Toc485303321" w:history="1">
                <w:r w:rsidR="0089726F" w:rsidRPr="00C210C7">
                  <w:rPr>
                    <w:rStyle w:val="Hyperlink"/>
                  </w:rPr>
                  <w:t>ACCC water monitoring report 2015–16 – monitoring approach and assumptions</w:t>
                </w:r>
                <w:r w:rsidR="0089726F">
                  <w:rPr>
                    <w:webHidden/>
                  </w:rPr>
                  <w:tab/>
                </w:r>
                <w:r w:rsidR="0089726F">
                  <w:rPr>
                    <w:webHidden/>
                  </w:rPr>
                  <w:fldChar w:fldCharType="begin"/>
                </w:r>
                <w:r w:rsidR="0089726F">
                  <w:rPr>
                    <w:webHidden/>
                  </w:rPr>
                  <w:instrText xml:space="preserve"> PAGEREF _Toc485303321 \h </w:instrText>
                </w:r>
                <w:r w:rsidR="0089726F">
                  <w:rPr>
                    <w:webHidden/>
                  </w:rPr>
                </w:r>
                <w:r w:rsidR="0089726F">
                  <w:rPr>
                    <w:webHidden/>
                  </w:rPr>
                  <w:fldChar w:fldCharType="separate"/>
                </w:r>
                <w:r w:rsidR="0089726F">
                  <w:rPr>
                    <w:webHidden/>
                  </w:rPr>
                  <w:t>1</w:t>
                </w:r>
                <w:r w:rsidR="0089726F">
                  <w:rPr>
                    <w:webHidden/>
                  </w:rPr>
                  <w:fldChar w:fldCharType="end"/>
                </w:r>
              </w:hyperlink>
            </w:p>
            <w:p w:rsidR="0089726F" w:rsidRDefault="00FF0E78">
              <w:pPr>
                <w:pStyle w:val="TOC1"/>
                <w:rPr>
                  <w:rFonts w:asciiTheme="minorHAnsi" w:eastAsiaTheme="minorEastAsia" w:hAnsiTheme="minorHAnsi"/>
                  <w:lang w:val="en-AU" w:eastAsia="en-AU"/>
                </w:rPr>
              </w:pPr>
              <w:hyperlink w:anchor="_Toc485303322" w:history="1">
                <w:r w:rsidR="0089726F" w:rsidRPr="00C210C7">
                  <w:rPr>
                    <w:rStyle w:val="Hyperlink"/>
                  </w:rPr>
                  <w:t>List of abbreviations</w:t>
                </w:r>
                <w:r w:rsidR="0089726F">
                  <w:rPr>
                    <w:webHidden/>
                  </w:rPr>
                  <w:tab/>
                </w:r>
                <w:r w:rsidR="0089726F">
                  <w:rPr>
                    <w:webHidden/>
                  </w:rPr>
                  <w:fldChar w:fldCharType="begin"/>
                </w:r>
                <w:r w:rsidR="0089726F">
                  <w:rPr>
                    <w:webHidden/>
                  </w:rPr>
                  <w:instrText xml:space="preserve"> PAGEREF _Toc485303322 \h </w:instrText>
                </w:r>
                <w:r w:rsidR="0089726F">
                  <w:rPr>
                    <w:webHidden/>
                  </w:rPr>
                </w:r>
                <w:r w:rsidR="0089726F">
                  <w:rPr>
                    <w:webHidden/>
                  </w:rPr>
                  <w:fldChar w:fldCharType="separate"/>
                </w:r>
                <w:r w:rsidR="0089726F">
                  <w:rPr>
                    <w:webHidden/>
                  </w:rPr>
                  <w:t>6</w:t>
                </w:r>
                <w:r w:rsidR="0089726F">
                  <w:rPr>
                    <w:webHidden/>
                  </w:rPr>
                  <w:fldChar w:fldCharType="end"/>
                </w:r>
              </w:hyperlink>
            </w:p>
            <w:p w:rsidR="0089726F" w:rsidRDefault="00FF0E78">
              <w:pPr>
                <w:pStyle w:val="TOC1"/>
                <w:rPr>
                  <w:rFonts w:asciiTheme="minorHAnsi" w:eastAsiaTheme="minorEastAsia" w:hAnsiTheme="minorHAnsi"/>
                  <w:lang w:val="en-AU" w:eastAsia="en-AU"/>
                </w:rPr>
              </w:pPr>
              <w:hyperlink w:anchor="_Toc485303323" w:history="1">
                <w:r w:rsidR="0089726F" w:rsidRPr="00C210C7">
                  <w:rPr>
                    <w:rStyle w:val="Hyperlink"/>
                  </w:rPr>
                  <w:t>Glossary</w:t>
                </w:r>
                <w:r w:rsidR="0089726F">
                  <w:rPr>
                    <w:webHidden/>
                  </w:rPr>
                  <w:tab/>
                </w:r>
                <w:r w:rsidR="0089726F">
                  <w:rPr>
                    <w:webHidden/>
                  </w:rPr>
                  <w:fldChar w:fldCharType="begin"/>
                </w:r>
                <w:r w:rsidR="0089726F">
                  <w:rPr>
                    <w:webHidden/>
                  </w:rPr>
                  <w:instrText xml:space="preserve"> PAGEREF _Toc485303323 \h </w:instrText>
                </w:r>
                <w:r w:rsidR="0089726F">
                  <w:rPr>
                    <w:webHidden/>
                  </w:rPr>
                </w:r>
                <w:r w:rsidR="0089726F">
                  <w:rPr>
                    <w:webHidden/>
                  </w:rPr>
                  <w:fldChar w:fldCharType="separate"/>
                </w:r>
                <w:r w:rsidR="0089726F">
                  <w:rPr>
                    <w:webHidden/>
                  </w:rPr>
                  <w:t>9</w:t>
                </w:r>
                <w:r w:rsidR="0089726F">
                  <w:rPr>
                    <w:webHidden/>
                  </w:rPr>
                  <w:fldChar w:fldCharType="end"/>
                </w:r>
              </w:hyperlink>
            </w:p>
            <w:p w:rsidR="0089726F" w:rsidRDefault="00FF0E78">
              <w:pPr>
                <w:pStyle w:val="TOC1"/>
                <w:rPr>
                  <w:rFonts w:asciiTheme="minorHAnsi" w:eastAsiaTheme="minorEastAsia" w:hAnsiTheme="minorHAnsi"/>
                  <w:lang w:val="en-AU" w:eastAsia="en-AU"/>
                </w:rPr>
              </w:pPr>
              <w:hyperlink w:anchor="_Toc485303324" w:history="1">
                <w:r w:rsidR="0089726F" w:rsidRPr="00C210C7">
                  <w:rPr>
                    <w:rStyle w:val="Hyperlink"/>
                  </w:rPr>
                  <w:t>1.</w:t>
                </w:r>
                <w:r w:rsidR="0089726F">
                  <w:rPr>
                    <w:rFonts w:asciiTheme="minorHAnsi" w:eastAsiaTheme="minorEastAsia" w:hAnsiTheme="minorHAnsi"/>
                    <w:lang w:val="en-AU" w:eastAsia="en-AU"/>
                  </w:rPr>
                  <w:tab/>
                </w:r>
                <w:r w:rsidR="0089726F" w:rsidRPr="00C210C7">
                  <w:rPr>
                    <w:rStyle w:val="Hyperlink"/>
                  </w:rPr>
                  <w:t>Reporting entities</w:t>
                </w:r>
                <w:r w:rsidR="0089726F">
                  <w:rPr>
                    <w:webHidden/>
                  </w:rPr>
                  <w:tab/>
                </w:r>
                <w:r w:rsidR="0089726F">
                  <w:rPr>
                    <w:webHidden/>
                  </w:rPr>
                  <w:fldChar w:fldCharType="begin"/>
                </w:r>
                <w:r w:rsidR="0089726F">
                  <w:rPr>
                    <w:webHidden/>
                  </w:rPr>
                  <w:instrText xml:space="preserve"> PAGEREF _Toc485303324 \h </w:instrText>
                </w:r>
                <w:r w:rsidR="0089726F">
                  <w:rPr>
                    <w:webHidden/>
                  </w:rPr>
                </w:r>
                <w:r w:rsidR="0089726F">
                  <w:rPr>
                    <w:webHidden/>
                  </w:rPr>
                  <w:fldChar w:fldCharType="separate"/>
                </w:r>
                <w:r w:rsidR="0089726F">
                  <w:rPr>
                    <w:webHidden/>
                  </w:rPr>
                  <w:t>14</w:t>
                </w:r>
                <w:r w:rsidR="0089726F">
                  <w:rPr>
                    <w:webHidden/>
                  </w:rPr>
                  <w:fldChar w:fldCharType="end"/>
                </w:r>
              </w:hyperlink>
            </w:p>
            <w:p w:rsidR="0089726F" w:rsidRDefault="00FF0E78">
              <w:pPr>
                <w:pStyle w:val="TOC1"/>
                <w:rPr>
                  <w:rFonts w:asciiTheme="minorHAnsi" w:eastAsiaTheme="minorEastAsia" w:hAnsiTheme="minorHAnsi"/>
                  <w:lang w:val="en-AU" w:eastAsia="en-AU"/>
                </w:rPr>
              </w:pPr>
              <w:hyperlink w:anchor="_Toc485303325" w:history="1">
                <w:r w:rsidR="0089726F" w:rsidRPr="00C210C7">
                  <w:rPr>
                    <w:rStyle w:val="Hyperlink"/>
                  </w:rPr>
                  <w:t>2.</w:t>
                </w:r>
                <w:r w:rsidR="0089726F">
                  <w:rPr>
                    <w:rFonts w:asciiTheme="minorHAnsi" w:eastAsiaTheme="minorEastAsia" w:hAnsiTheme="minorHAnsi"/>
                    <w:lang w:val="en-AU" w:eastAsia="en-AU"/>
                  </w:rPr>
                  <w:tab/>
                </w:r>
                <w:r w:rsidR="0089726F" w:rsidRPr="00C210C7">
                  <w:rPr>
                    <w:rStyle w:val="Hyperlink"/>
                  </w:rPr>
                  <w:t>Water planning and management charges and costs</w:t>
                </w:r>
                <w:r w:rsidR="0089726F">
                  <w:rPr>
                    <w:webHidden/>
                  </w:rPr>
                  <w:tab/>
                </w:r>
                <w:r w:rsidR="0089726F">
                  <w:rPr>
                    <w:webHidden/>
                  </w:rPr>
                  <w:fldChar w:fldCharType="begin"/>
                </w:r>
                <w:r w:rsidR="0089726F">
                  <w:rPr>
                    <w:webHidden/>
                  </w:rPr>
                  <w:instrText xml:space="preserve"> PAGEREF _Toc485303325 \h </w:instrText>
                </w:r>
                <w:r w:rsidR="0089726F">
                  <w:rPr>
                    <w:webHidden/>
                  </w:rPr>
                </w:r>
                <w:r w:rsidR="0089726F">
                  <w:rPr>
                    <w:webHidden/>
                  </w:rPr>
                  <w:fldChar w:fldCharType="separate"/>
                </w:r>
                <w:r w:rsidR="0089726F">
                  <w:rPr>
                    <w:webHidden/>
                  </w:rPr>
                  <w:t>16</w:t>
                </w:r>
                <w:r w:rsidR="0089726F">
                  <w:rPr>
                    <w:webHidden/>
                  </w:rPr>
                  <w:fldChar w:fldCharType="end"/>
                </w:r>
              </w:hyperlink>
            </w:p>
            <w:p w:rsidR="0089726F" w:rsidRDefault="00FF0E78">
              <w:pPr>
                <w:pStyle w:val="TOC2"/>
                <w:rPr>
                  <w:rFonts w:asciiTheme="minorHAnsi" w:eastAsiaTheme="minorEastAsia" w:hAnsiTheme="minorHAnsi"/>
                  <w:lang w:eastAsia="en-AU"/>
                </w:rPr>
              </w:pPr>
              <w:hyperlink w:anchor="_Toc485303326" w:history="1">
                <w:r w:rsidR="0089726F" w:rsidRPr="00C210C7">
                  <w:rPr>
                    <w:rStyle w:val="Hyperlink"/>
                  </w:rPr>
                  <w:t>2.1</w:t>
                </w:r>
                <w:r w:rsidR="0089726F">
                  <w:rPr>
                    <w:rFonts w:asciiTheme="minorHAnsi" w:eastAsiaTheme="minorEastAsia" w:hAnsiTheme="minorHAnsi"/>
                    <w:lang w:eastAsia="en-AU"/>
                  </w:rPr>
                  <w:tab/>
                </w:r>
                <w:r w:rsidR="0089726F" w:rsidRPr="00C210C7">
                  <w:rPr>
                    <w:rStyle w:val="Hyperlink"/>
                  </w:rPr>
                  <w:t>ACCC approach to monitoring WPM activities and charges</w:t>
                </w:r>
                <w:r w:rsidR="0089726F">
                  <w:rPr>
                    <w:webHidden/>
                  </w:rPr>
                  <w:tab/>
                </w:r>
                <w:r w:rsidR="0089726F">
                  <w:rPr>
                    <w:webHidden/>
                  </w:rPr>
                  <w:fldChar w:fldCharType="begin"/>
                </w:r>
                <w:r w:rsidR="0089726F">
                  <w:rPr>
                    <w:webHidden/>
                  </w:rPr>
                  <w:instrText xml:space="preserve"> PAGEREF _Toc485303326 \h </w:instrText>
                </w:r>
                <w:r w:rsidR="0089726F">
                  <w:rPr>
                    <w:webHidden/>
                  </w:rPr>
                </w:r>
                <w:r w:rsidR="0089726F">
                  <w:rPr>
                    <w:webHidden/>
                  </w:rPr>
                  <w:fldChar w:fldCharType="separate"/>
                </w:r>
                <w:r w:rsidR="0089726F">
                  <w:rPr>
                    <w:webHidden/>
                  </w:rPr>
                  <w:t>16</w:t>
                </w:r>
                <w:r w:rsidR="0089726F">
                  <w:rPr>
                    <w:webHidden/>
                  </w:rPr>
                  <w:fldChar w:fldCharType="end"/>
                </w:r>
              </w:hyperlink>
            </w:p>
            <w:p w:rsidR="0089726F" w:rsidRDefault="00FF0E78">
              <w:pPr>
                <w:pStyle w:val="TOC2"/>
                <w:rPr>
                  <w:rFonts w:asciiTheme="minorHAnsi" w:eastAsiaTheme="minorEastAsia" w:hAnsiTheme="minorHAnsi"/>
                  <w:lang w:eastAsia="en-AU"/>
                </w:rPr>
              </w:pPr>
              <w:hyperlink w:anchor="_Toc485303327" w:history="1">
                <w:r w:rsidR="0089726F" w:rsidRPr="00C210C7">
                  <w:rPr>
                    <w:rStyle w:val="Hyperlink"/>
                  </w:rPr>
                  <w:t>2.2</w:t>
                </w:r>
                <w:r w:rsidR="0089726F">
                  <w:rPr>
                    <w:rFonts w:asciiTheme="minorHAnsi" w:eastAsiaTheme="minorEastAsia" w:hAnsiTheme="minorHAnsi"/>
                    <w:lang w:eastAsia="en-AU"/>
                  </w:rPr>
                  <w:tab/>
                </w:r>
                <w:r w:rsidR="0089726F" w:rsidRPr="00C210C7">
                  <w:rPr>
                    <w:rStyle w:val="Hyperlink"/>
                  </w:rPr>
                  <w:t>WPM Charges</w:t>
                </w:r>
                <w:r w:rsidR="0089726F">
                  <w:rPr>
                    <w:webHidden/>
                  </w:rPr>
                  <w:tab/>
                </w:r>
                <w:r w:rsidR="0089726F">
                  <w:rPr>
                    <w:webHidden/>
                  </w:rPr>
                  <w:fldChar w:fldCharType="begin"/>
                </w:r>
                <w:r w:rsidR="0089726F">
                  <w:rPr>
                    <w:webHidden/>
                  </w:rPr>
                  <w:instrText xml:space="preserve"> PAGEREF _Toc485303327 \h </w:instrText>
                </w:r>
                <w:r w:rsidR="0089726F">
                  <w:rPr>
                    <w:webHidden/>
                  </w:rPr>
                </w:r>
                <w:r w:rsidR="0089726F">
                  <w:rPr>
                    <w:webHidden/>
                  </w:rPr>
                  <w:fldChar w:fldCharType="separate"/>
                </w:r>
                <w:r w:rsidR="0089726F">
                  <w:rPr>
                    <w:webHidden/>
                  </w:rPr>
                  <w:t>17</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28" w:history="1">
                <w:r w:rsidR="0089726F" w:rsidRPr="00C210C7">
                  <w:rPr>
                    <w:rStyle w:val="Hyperlink"/>
                  </w:rPr>
                  <w:t>2.2.1</w:t>
                </w:r>
                <w:r w:rsidR="0089726F">
                  <w:rPr>
                    <w:rFonts w:asciiTheme="minorHAnsi" w:eastAsiaTheme="minorEastAsia" w:hAnsiTheme="minorHAnsi"/>
                    <w:lang w:eastAsia="en-AU"/>
                  </w:rPr>
                  <w:tab/>
                </w:r>
                <w:r w:rsidR="0089726F" w:rsidRPr="00C210C7">
                  <w:rPr>
                    <w:rStyle w:val="Hyperlink"/>
                  </w:rPr>
                  <w:t>Queensland</w:t>
                </w:r>
                <w:r w:rsidR="0089726F">
                  <w:rPr>
                    <w:webHidden/>
                  </w:rPr>
                  <w:tab/>
                </w:r>
                <w:r w:rsidR="0089726F">
                  <w:rPr>
                    <w:webHidden/>
                  </w:rPr>
                  <w:fldChar w:fldCharType="begin"/>
                </w:r>
                <w:r w:rsidR="0089726F">
                  <w:rPr>
                    <w:webHidden/>
                  </w:rPr>
                  <w:instrText xml:space="preserve"> PAGEREF _Toc485303328 \h </w:instrText>
                </w:r>
                <w:r w:rsidR="0089726F">
                  <w:rPr>
                    <w:webHidden/>
                  </w:rPr>
                </w:r>
                <w:r w:rsidR="0089726F">
                  <w:rPr>
                    <w:webHidden/>
                  </w:rPr>
                  <w:fldChar w:fldCharType="separate"/>
                </w:r>
                <w:r w:rsidR="0089726F">
                  <w:rPr>
                    <w:webHidden/>
                  </w:rPr>
                  <w:t>17</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29" w:history="1">
                <w:r w:rsidR="0089726F" w:rsidRPr="00C210C7">
                  <w:rPr>
                    <w:rStyle w:val="Hyperlink"/>
                  </w:rPr>
                  <w:t>2.2.2</w:t>
                </w:r>
                <w:r w:rsidR="0089726F">
                  <w:rPr>
                    <w:rFonts w:asciiTheme="minorHAnsi" w:eastAsiaTheme="minorEastAsia" w:hAnsiTheme="minorHAnsi"/>
                    <w:lang w:eastAsia="en-AU"/>
                  </w:rPr>
                  <w:tab/>
                </w:r>
                <w:r w:rsidR="0089726F" w:rsidRPr="00C210C7">
                  <w:rPr>
                    <w:rStyle w:val="Hyperlink"/>
                  </w:rPr>
                  <w:t>New South Wales</w:t>
                </w:r>
                <w:r w:rsidR="0089726F">
                  <w:rPr>
                    <w:webHidden/>
                  </w:rPr>
                  <w:tab/>
                </w:r>
                <w:r w:rsidR="0089726F">
                  <w:rPr>
                    <w:webHidden/>
                  </w:rPr>
                  <w:fldChar w:fldCharType="begin"/>
                </w:r>
                <w:r w:rsidR="0089726F">
                  <w:rPr>
                    <w:webHidden/>
                  </w:rPr>
                  <w:instrText xml:space="preserve"> PAGEREF _Toc485303329 \h </w:instrText>
                </w:r>
                <w:r w:rsidR="0089726F">
                  <w:rPr>
                    <w:webHidden/>
                  </w:rPr>
                </w:r>
                <w:r w:rsidR="0089726F">
                  <w:rPr>
                    <w:webHidden/>
                  </w:rPr>
                  <w:fldChar w:fldCharType="separate"/>
                </w:r>
                <w:r w:rsidR="0089726F">
                  <w:rPr>
                    <w:webHidden/>
                  </w:rPr>
                  <w:t>28</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30" w:history="1">
                <w:r w:rsidR="0089726F" w:rsidRPr="00C210C7">
                  <w:rPr>
                    <w:rStyle w:val="Hyperlink"/>
                  </w:rPr>
                  <w:t>2.2.3</w:t>
                </w:r>
                <w:r w:rsidR="0089726F">
                  <w:rPr>
                    <w:rFonts w:asciiTheme="minorHAnsi" w:eastAsiaTheme="minorEastAsia" w:hAnsiTheme="minorHAnsi"/>
                    <w:lang w:eastAsia="en-AU"/>
                  </w:rPr>
                  <w:tab/>
                </w:r>
                <w:r w:rsidR="0089726F" w:rsidRPr="00C210C7">
                  <w:rPr>
                    <w:rStyle w:val="Hyperlink"/>
                  </w:rPr>
                  <w:t>Australian Capital Territory</w:t>
                </w:r>
                <w:r w:rsidR="0089726F">
                  <w:rPr>
                    <w:webHidden/>
                  </w:rPr>
                  <w:tab/>
                </w:r>
                <w:r w:rsidR="0089726F">
                  <w:rPr>
                    <w:webHidden/>
                  </w:rPr>
                  <w:fldChar w:fldCharType="begin"/>
                </w:r>
                <w:r w:rsidR="0089726F">
                  <w:rPr>
                    <w:webHidden/>
                  </w:rPr>
                  <w:instrText xml:space="preserve"> PAGEREF _Toc485303330 \h </w:instrText>
                </w:r>
                <w:r w:rsidR="0089726F">
                  <w:rPr>
                    <w:webHidden/>
                  </w:rPr>
                </w:r>
                <w:r w:rsidR="0089726F">
                  <w:rPr>
                    <w:webHidden/>
                  </w:rPr>
                  <w:fldChar w:fldCharType="separate"/>
                </w:r>
                <w:r w:rsidR="0089726F">
                  <w:rPr>
                    <w:webHidden/>
                  </w:rPr>
                  <w:t>34</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31" w:history="1">
                <w:r w:rsidR="0089726F" w:rsidRPr="00C210C7">
                  <w:rPr>
                    <w:rStyle w:val="Hyperlink"/>
                  </w:rPr>
                  <w:t>2.2.4</w:t>
                </w:r>
                <w:r w:rsidR="0089726F">
                  <w:rPr>
                    <w:rFonts w:asciiTheme="minorHAnsi" w:eastAsiaTheme="minorEastAsia" w:hAnsiTheme="minorHAnsi"/>
                    <w:lang w:eastAsia="en-AU"/>
                  </w:rPr>
                  <w:tab/>
                </w:r>
                <w:r w:rsidR="0089726F" w:rsidRPr="00C210C7">
                  <w:rPr>
                    <w:rStyle w:val="Hyperlink"/>
                  </w:rPr>
                  <w:t>Victoria</w:t>
                </w:r>
                <w:r w:rsidR="0089726F">
                  <w:rPr>
                    <w:webHidden/>
                  </w:rPr>
                  <w:tab/>
                </w:r>
                <w:r w:rsidR="0089726F">
                  <w:rPr>
                    <w:webHidden/>
                  </w:rPr>
                  <w:fldChar w:fldCharType="begin"/>
                </w:r>
                <w:r w:rsidR="0089726F">
                  <w:rPr>
                    <w:webHidden/>
                  </w:rPr>
                  <w:instrText xml:space="preserve"> PAGEREF _Toc485303331 \h </w:instrText>
                </w:r>
                <w:r w:rsidR="0089726F">
                  <w:rPr>
                    <w:webHidden/>
                  </w:rPr>
                </w:r>
                <w:r w:rsidR="0089726F">
                  <w:rPr>
                    <w:webHidden/>
                  </w:rPr>
                  <w:fldChar w:fldCharType="separate"/>
                </w:r>
                <w:r w:rsidR="0089726F">
                  <w:rPr>
                    <w:webHidden/>
                  </w:rPr>
                  <w:t>38</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32" w:history="1">
                <w:r w:rsidR="0089726F" w:rsidRPr="00C210C7">
                  <w:rPr>
                    <w:rStyle w:val="Hyperlink"/>
                  </w:rPr>
                  <w:t>2.2.5</w:t>
                </w:r>
                <w:r w:rsidR="0089726F">
                  <w:rPr>
                    <w:rFonts w:asciiTheme="minorHAnsi" w:eastAsiaTheme="minorEastAsia" w:hAnsiTheme="minorHAnsi"/>
                    <w:lang w:eastAsia="en-AU"/>
                  </w:rPr>
                  <w:tab/>
                </w:r>
                <w:r w:rsidR="0089726F" w:rsidRPr="00C210C7">
                  <w:rPr>
                    <w:rStyle w:val="Hyperlink"/>
                  </w:rPr>
                  <w:t>South Australia</w:t>
                </w:r>
                <w:r w:rsidR="0089726F">
                  <w:rPr>
                    <w:webHidden/>
                  </w:rPr>
                  <w:tab/>
                </w:r>
                <w:r w:rsidR="0089726F">
                  <w:rPr>
                    <w:webHidden/>
                  </w:rPr>
                  <w:fldChar w:fldCharType="begin"/>
                </w:r>
                <w:r w:rsidR="0089726F">
                  <w:rPr>
                    <w:webHidden/>
                  </w:rPr>
                  <w:instrText xml:space="preserve"> PAGEREF _Toc485303332 \h </w:instrText>
                </w:r>
                <w:r w:rsidR="0089726F">
                  <w:rPr>
                    <w:webHidden/>
                  </w:rPr>
                </w:r>
                <w:r w:rsidR="0089726F">
                  <w:rPr>
                    <w:webHidden/>
                  </w:rPr>
                  <w:fldChar w:fldCharType="separate"/>
                </w:r>
                <w:r w:rsidR="0089726F">
                  <w:rPr>
                    <w:webHidden/>
                  </w:rPr>
                  <w:t>48</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33" w:history="1">
                <w:r w:rsidR="0089726F" w:rsidRPr="00C210C7">
                  <w:rPr>
                    <w:rStyle w:val="Hyperlink"/>
                  </w:rPr>
                  <w:t>2.2.6</w:t>
                </w:r>
                <w:r w:rsidR="0089726F">
                  <w:rPr>
                    <w:rFonts w:asciiTheme="minorHAnsi" w:eastAsiaTheme="minorEastAsia" w:hAnsiTheme="minorHAnsi"/>
                    <w:lang w:eastAsia="en-AU"/>
                  </w:rPr>
                  <w:tab/>
                </w:r>
                <w:r w:rsidR="0089726F" w:rsidRPr="00C210C7">
                  <w:rPr>
                    <w:rStyle w:val="Hyperlink"/>
                  </w:rPr>
                  <w:t>Murray-Darling Basin Authority</w:t>
                </w:r>
                <w:r w:rsidR="0089726F">
                  <w:rPr>
                    <w:webHidden/>
                  </w:rPr>
                  <w:tab/>
                </w:r>
                <w:r w:rsidR="0089726F">
                  <w:rPr>
                    <w:webHidden/>
                  </w:rPr>
                  <w:fldChar w:fldCharType="begin"/>
                </w:r>
                <w:r w:rsidR="0089726F">
                  <w:rPr>
                    <w:webHidden/>
                  </w:rPr>
                  <w:instrText xml:space="preserve"> PAGEREF _Toc485303333 \h </w:instrText>
                </w:r>
                <w:r w:rsidR="0089726F">
                  <w:rPr>
                    <w:webHidden/>
                  </w:rPr>
                </w:r>
                <w:r w:rsidR="0089726F">
                  <w:rPr>
                    <w:webHidden/>
                  </w:rPr>
                  <w:fldChar w:fldCharType="separate"/>
                </w:r>
                <w:r w:rsidR="0089726F">
                  <w:rPr>
                    <w:webHidden/>
                  </w:rPr>
                  <w:t>51</w:t>
                </w:r>
                <w:r w:rsidR="0089726F">
                  <w:rPr>
                    <w:webHidden/>
                  </w:rPr>
                  <w:fldChar w:fldCharType="end"/>
                </w:r>
              </w:hyperlink>
            </w:p>
            <w:p w:rsidR="0089726F" w:rsidRDefault="00FF0E78">
              <w:pPr>
                <w:pStyle w:val="TOC2"/>
                <w:rPr>
                  <w:rFonts w:asciiTheme="minorHAnsi" w:eastAsiaTheme="minorEastAsia" w:hAnsiTheme="minorHAnsi"/>
                  <w:lang w:eastAsia="en-AU"/>
                </w:rPr>
              </w:pPr>
              <w:hyperlink w:anchor="_Toc485303334" w:history="1">
                <w:r w:rsidR="0089726F" w:rsidRPr="00C210C7">
                  <w:rPr>
                    <w:rStyle w:val="Hyperlink"/>
                  </w:rPr>
                  <w:t>2.3</w:t>
                </w:r>
                <w:r w:rsidR="0089726F">
                  <w:rPr>
                    <w:rFonts w:asciiTheme="minorHAnsi" w:eastAsiaTheme="minorEastAsia" w:hAnsiTheme="minorHAnsi"/>
                    <w:lang w:eastAsia="en-AU"/>
                  </w:rPr>
                  <w:tab/>
                </w:r>
                <w:r w:rsidR="0089726F" w:rsidRPr="00C210C7">
                  <w:rPr>
                    <w:rStyle w:val="Hyperlink"/>
                  </w:rPr>
                  <w:t>Assumptions for the 2015−16 estimated WPM revenues and WPM costs</w:t>
                </w:r>
                <w:r w:rsidR="0089726F">
                  <w:rPr>
                    <w:webHidden/>
                  </w:rPr>
                  <w:tab/>
                </w:r>
                <w:r w:rsidR="0089726F">
                  <w:rPr>
                    <w:webHidden/>
                  </w:rPr>
                  <w:fldChar w:fldCharType="begin"/>
                </w:r>
                <w:r w:rsidR="0089726F">
                  <w:rPr>
                    <w:webHidden/>
                  </w:rPr>
                  <w:instrText xml:space="preserve"> PAGEREF _Toc485303334 \h </w:instrText>
                </w:r>
                <w:r w:rsidR="0089726F">
                  <w:rPr>
                    <w:webHidden/>
                  </w:rPr>
                </w:r>
                <w:r w:rsidR="0089726F">
                  <w:rPr>
                    <w:webHidden/>
                  </w:rPr>
                  <w:fldChar w:fldCharType="separate"/>
                </w:r>
                <w:r w:rsidR="0089726F">
                  <w:rPr>
                    <w:webHidden/>
                  </w:rPr>
                  <w:t>52</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35" w:history="1">
                <w:r w:rsidR="0089726F" w:rsidRPr="00C210C7">
                  <w:rPr>
                    <w:rStyle w:val="Hyperlink"/>
                  </w:rPr>
                  <w:t>2.3.1</w:t>
                </w:r>
                <w:r w:rsidR="0089726F">
                  <w:rPr>
                    <w:rFonts w:asciiTheme="minorHAnsi" w:eastAsiaTheme="minorEastAsia" w:hAnsiTheme="minorHAnsi"/>
                    <w:lang w:eastAsia="en-AU"/>
                  </w:rPr>
                  <w:tab/>
                </w:r>
                <w:r w:rsidR="0089726F" w:rsidRPr="00C210C7">
                  <w:rPr>
                    <w:rStyle w:val="Hyperlink"/>
                  </w:rPr>
                  <w:t>Department of Natural Resources and Mines, Queensland</w:t>
                </w:r>
                <w:r w:rsidR="0089726F">
                  <w:rPr>
                    <w:webHidden/>
                  </w:rPr>
                  <w:tab/>
                </w:r>
                <w:r w:rsidR="0089726F">
                  <w:rPr>
                    <w:webHidden/>
                  </w:rPr>
                  <w:fldChar w:fldCharType="begin"/>
                </w:r>
                <w:r w:rsidR="0089726F">
                  <w:rPr>
                    <w:webHidden/>
                  </w:rPr>
                  <w:instrText xml:space="preserve"> PAGEREF _Toc485303335 \h </w:instrText>
                </w:r>
                <w:r w:rsidR="0089726F">
                  <w:rPr>
                    <w:webHidden/>
                  </w:rPr>
                </w:r>
                <w:r w:rsidR="0089726F">
                  <w:rPr>
                    <w:webHidden/>
                  </w:rPr>
                  <w:fldChar w:fldCharType="separate"/>
                </w:r>
                <w:r w:rsidR="0089726F">
                  <w:rPr>
                    <w:webHidden/>
                  </w:rPr>
                  <w:t>52</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36" w:history="1">
                <w:r w:rsidR="0089726F" w:rsidRPr="00C210C7">
                  <w:rPr>
                    <w:rStyle w:val="Hyperlink"/>
                  </w:rPr>
                  <w:t>2.3.2</w:t>
                </w:r>
                <w:r w:rsidR="0089726F">
                  <w:rPr>
                    <w:rFonts w:asciiTheme="minorHAnsi" w:eastAsiaTheme="minorEastAsia" w:hAnsiTheme="minorHAnsi"/>
                    <w:lang w:eastAsia="en-AU"/>
                  </w:rPr>
                  <w:tab/>
                </w:r>
                <w:r w:rsidR="0089726F" w:rsidRPr="00C210C7">
                  <w:rPr>
                    <w:rStyle w:val="Hyperlink"/>
                  </w:rPr>
                  <w:t>DPI Water, NSW</w:t>
                </w:r>
                <w:r w:rsidR="0089726F">
                  <w:rPr>
                    <w:webHidden/>
                  </w:rPr>
                  <w:tab/>
                </w:r>
                <w:r w:rsidR="0089726F">
                  <w:rPr>
                    <w:webHidden/>
                  </w:rPr>
                  <w:fldChar w:fldCharType="begin"/>
                </w:r>
                <w:r w:rsidR="0089726F">
                  <w:rPr>
                    <w:webHidden/>
                  </w:rPr>
                  <w:instrText xml:space="preserve"> PAGEREF _Toc485303336 \h </w:instrText>
                </w:r>
                <w:r w:rsidR="0089726F">
                  <w:rPr>
                    <w:webHidden/>
                  </w:rPr>
                </w:r>
                <w:r w:rsidR="0089726F">
                  <w:rPr>
                    <w:webHidden/>
                  </w:rPr>
                  <w:fldChar w:fldCharType="separate"/>
                </w:r>
                <w:r w:rsidR="0089726F">
                  <w:rPr>
                    <w:webHidden/>
                  </w:rPr>
                  <w:t>52</w:t>
                </w:r>
                <w:r w:rsidR="0089726F">
                  <w:rPr>
                    <w:webHidden/>
                  </w:rPr>
                  <w:fldChar w:fldCharType="end"/>
                </w:r>
              </w:hyperlink>
            </w:p>
            <w:p w:rsidR="0089726F" w:rsidRDefault="00FF0E78" w:rsidP="0089726F">
              <w:pPr>
                <w:pStyle w:val="TOC3"/>
                <w:ind w:left="1700" w:hanging="849"/>
                <w:rPr>
                  <w:rFonts w:asciiTheme="minorHAnsi" w:eastAsiaTheme="minorEastAsia" w:hAnsiTheme="minorHAnsi"/>
                  <w:lang w:eastAsia="en-AU"/>
                </w:rPr>
              </w:pPr>
              <w:hyperlink w:anchor="_Toc485303337" w:history="1">
                <w:r w:rsidR="0089726F" w:rsidRPr="00C210C7">
                  <w:rPr>
                    <w:rStyle w:val="Hyperlink"/>
                  </w:rPr>
                  <w:t>2.3.3</w:t>
                </w:r>
                <w:r w:rsidR="0089726F">
                  <w:rPr>
                    <w:rFonts w:asciiTheme="minorHAnsi" w:eastAsiaTheme="minorEastAsia" w:hAnsiTheme="minorHAnsi"/>
                    <w:lang w:eastAsia="en-AU"/>
                  </w:rPr>
                  <w:tab/>
                </w:r>
                <w:r w:rsidR="0089726F" w:rsidRPr="00C210C7">
                  <w:rPr>
                    <w:rStyle w:val="Hyperlink"/>
                  </w:rPr>
                  <w:t xml:space="preserve">Environmental Planning and Sustainable Development Directorate, </w:t>
                </w:r>
                <w:r w:rsidR="0089726F">
                  <w:rPr>
                    <w:rStyle w:val="Hyperlink"/>
                  </w:rPr>
                  <w:br/>
                </w:r>
                <w:r w:rsidR="0089726F" w:rsidRPr="00C210C7">
                  <w:rPr>
                    <w:rStyle w:val="Hyperlink"/>
                  </w:rPr>
                  <w:t>ACT</w:t>
                </w:r>
                <w:r w:rsidR="0089726F">
                  <w:rPr>
                    <w:webHidden/>
                  </w:rPr>
                  <w:tab/>
                </w:r>
                <w:r w:rsidR="0089726F">
                  <w:rPr>
                    <w:webHidden/>
                  </w:rPr>
                  <w:fldChar w:fldCharType="begin"/>
                </w:r>
                <w:r w:rsidR="0089726F">
                  <w:rPr>
                    <w:webHidden/>
                  </w:rPr>
                  <w:instrText xml:space="preserve"> PAGEREF _Toc485303337 \h </w:instrText>
                </w:r>
                <w:r w:rsidR="0089726F">
                  <w:rPr>
                    <w:webHidden/>
                  </w:rPr>
                </w:r>
                <w:r w:rsidR="0089726F">
                  <w:rPr>
                    <w:webHidden/>
                  </w:rPr>
                  <w:fldChar w:fldCharType="separate"/>
                </w:r>
                <w:r w:rsidR="0089726F">
                  <w:rPr>
                    <w:webHidden/>
                  </w:rPr>
                  <w:t>53</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38" w:history="1">
                <w:r w:rsidR="0089726F" w:rsidRPr="00C210C7">
                  <w:rPr>
                    <w:rStyle w:val="Hyperlink"/>
                  </w:rPr>
                  <w:t>2.3.4</w:t>
                </w:r>
                <w:r w:rsidR="0089726F">
                  <w:rPr>
                    <w:rFonts w:asciiTheme="minorHAnsi" w:eastAsiaTheme="minorEastAsia" w:hAnsiTheme="minorHAnsi"/>
                    <w:lang w:eastAsia="en-AU"/>
                  </w:rPr>
                  <w:tab/>
                </w:r>
                <w:r w:rsidR="0089726F" w:rsidRPr="00C210C7">
                  <w:rPr>
                    <w:rStyle w:val="Hyperlink"/>
                  </w:rPr>
                  <w:t>Department of Environment, Land, Water and Planning, Victoria</w:t>
                </w:r>
                <w:r w:rsidR="0089726F">
                  <w:rPr>
                    <w:webHidden/>
                  </w:rPr>
                  <w:tab/>
                </w:r>
                <w:r w:rsidR="0089726F">
                  <w:rPr>
                    <w:webHidden/>
                  </w:rPr>
                  <w:fldChar w:fldCharType="begin"/>
                </w:r>
                <w:r w:rsidR="0089726F">
                  <w:rPr>
                    <w:webHidden/>
                  </w:rPr>
                  <w:instrText xml:space="preserve"> PAGEREF _Toc485303338 \h </w:instrText>
                </w:r>
                <w:r w:rsidR="0089726F">
                  <w:rPr>
                    <w:webHidden/>
                  </w:rPr>
                </w:r>
                <w:r w:rsidR="0089726F">
                  <w:rPr>
                    <w:webHidden/>
                  </w:rPr>
                  <w:fldChar w:fldCharType="separate"/>
                </w:r>
                <w:r w:rsidR="0089726F">
                  <w:rPr>
                    <w:webHidden/>
                  </w:rPr>
                  <w:t>53</w:t>
                </w:r>
                <w:r w:rsidR="0089726F">
                  <w:rPr>
                    <w:webHidden/>
                  </w:rPr>
                  <w:fldChar w:fldCharType="end"/>
                </w:r>
              </w:hyperlink>
            </w:p>
            <w:p w:rsidR="0089726F" w:rsidRDefault="00FF0E78" w:rsidP="0089726F">
              <w:pPr>
                <w:pStyle w:val="TOC3"/>
                <w:ind w:left="1700" w:hanging="849"/>
                <w:rPr>
                  <w:rFonts w:asciiTheme="minorHAnsi" w:eastAsiaTheme="minorEastAsia" w:hAnsiTheme="minorHAnsi"/>
                  <w:lang w:eastAsia="en-AU"/>
                </w:rPr>
              </w:pPr>
              <w:hyperlink w:anchor="_Toc485303339" w:history="1">
                <w:r w:rsidR="0089726F" w:rsidRPr="00C210C7">
                  <w:rPr>
                    <w:rStyle w:val="Hyperlink"/>
                  </w:rPr>
                  <w:t>2.3.5</w:t>
                </w:r>
                <w:r w:rsidR="0089726F">
                  <w:rPr>
                    <w:rFonts w:asciiTheme="minorHAnsi" w:eastAsiaTheme="minorEastAsia" w:hAnsiTheme="minorHAnsi"/>
                    <w:lang w:eastAsia="en-AU"/>
                  </w:rPr>
                  <w:tab/>
                </w:r>
                <w:r w:rsidR="0089726F" w:rsidRPr="00C210C7">
                  <w:rPr>
                    <w:rStyle w:val="Hyperlink"/>
                  </w:rPr>
                  <w:t xml:space="preserve">Goulburn-Murray Water, Lower Murray Water and </w:t>
                </w:r>
                <w:r w:rsidR="0089726F">
                  <w:rPr>
                    <w:rStyle w:val="Hyperlink"/>
                  </w:rPr>
                  <w:br/>
                </w:r>
                <w:r w:rsidR="0089726F" w:rsidRPr="00C210C7">
                  <w:rPr>
                    <w:rStyle w:val="Hyperlink"/>
                  </w:rPr>
                  <w:t>Grampians Wimmera Mallee Water, Victoria</w:t>
                </w:r>
                <w:r w:rsidR="0089726F">
                  <w:rPr>
                    <w:webHidden/>
                  </w:rPr>
                  <w:tab/>
                </w:r>
                <w:r w:rsidR="0089726F">
                  <w:rPr>
                    <w:webHidden/>
                  </w:rPr>
                  <w:fldChar w:fldCharType="begin"/>
                </w:r>
                <w:r w:rsidR="0089726F">
                  <w:rPr>
                    <w:webHidden/>
                  </w:rPr>
                  <w:instrText xml:space="preserve"> PAGEREF _Toc485303339 \h </w:instrText>
                </w:r>
                <w:r w:rsidR="0089726F">
                  <w:rPr>
                    <w:webHidden/>
                  </w:rPr>
                </w:r>
                <w:r w:rsidR="0089726F">
                  <w:rPr>
                    <w:webHidden/>
                  </w:rPr>
                  <w:fldChar w:fldCharType="separate"/>
                </w:r>
                <w:r w:rsidR="0089726F">
                  <w:rPr>
                    <w:webHidden/>
                  </w:rPr>
                  <w:t>53</w:t>
                </w:r>
                <w:r w:rsidR="0089726F">
                  <w:rPr>
                    <w:webHidden/>
                  </w:rPr>
                  <w:fldChar w:fldCharType="end"/>
                </w:r>
              </w:hyperlink>
            </w:p>
            <w:p w:rsidR="0089726F" w:rsidRDefault="00FF0E78" w:rsidP="0089726F">
              <w:pPr>
                <w:pStyle w:val="TOC3"/>
                <w:ind w:left="1360" w:hanging="509"/>
                <w:rPr>
                  <w:rFonts w:asciiTheme="minorHAnsi" w:eastAsiaTheme="minorEastAsia" w:hAnsiTheme="minorHAnsi"/>
                  <w:lang w:eastAsia="en-AU"/>
                </w:rPr>
              </w:pPr>
              <w:hyperlink w:anchor="_Toc485303340" w:history="1">
                <w:r w:rsidR="0089726F" w:rsidRPr="00C210C7">
                  <w:rPr>
                    <w:rStyle w:val="Hyperlink"/>
                  </w:rPr>
                  <w:t>2.3.6</w:t>
                </w:r>
                <w:r w:rsidR="0089726F">
                  <w:rPr>
                    <w:rFonts w:asciiTheme="minorHAnsi" w:eastAsiaTheme="minorEastAsia" w:hAnsiTheme="minorHAnsi"/>
                    <w:lang w:eastAsia="en-AU"/>
                  </w:rPr>
                  <w:tab/>
                </w:r>
                <w:r w:rsidR="0089726F">
                  <w:rPr>
                    <w:rFonts w:asciiTheme="minorHAnsi" w:eastAsiaTheme="minorEastAsia" w:hAnsiTheme="minorHAnsi"/>
                    <w:lang w:eastAsia="en-AU"/>
                  </w:rPr>
                  <w:tab/>
                </w:r>
                <w:r w:rsidR="0089726F" w:rsidRPr="00C210C7">
                  <w:rPr>
                    <w:rStyle w:val="Hyperlink"/>
                  </w:rPr>
                  <w:t xml:space="preserve">Department of Environment, Water and Natural Resources, </w:t>
                </w:r>
                <w:r w:rsidR="0089726F">
                  <w:rPr>
                    <w:rStyle w:val="Hyperlink"/>
                  </w:rPr>
                  <w:tab/>
                </w:r>
                <w:r w:rsidR="0089726F">
                  <w:rPr>
                    <w:rStyle w:val="Hyperlink"/>
                  </w:rPr>
                  <w:tab/>
                </w:r>
                <w:r w:rsidR="0089726F" w:rsidRPr="00C210C7">
                  <w:rPr>
                    <w:rStyle w:val="Hyperlink"/>
                  </w:rPr>
                  <w:t>South Australia</w:t>
                </w:r>
                <w:r w:rsidR="0089726F">
                  <w:rPr>
                    <w:webHidden/>
                  </w:rPr>
                  <w:tab/>
                </w:r>
                <w:r w:rsidR="0089726F">
                  <w:rPr>
                    <w:webHidden/>
                  </w:rPr>
                  <w:fldChar w:fldCharType="begin"/>
                </w:r>
                <w:r w:rsidR="0089726F">
                  <w:rPr>
                    <w:webHidden/>
                  </w:rPr>
                  <w:instrText xml:space="preserve"> PAGEREF _Toc485303340 \h </w:instrText>
                </w:r>
                <w:r w:rsidR="0089726F">
                  <w:rPr>
                    <w:webHidden/>
                  </w:rPr>
                </w:r>
                <w:r w:rsidR="0089726F">
                  <w:rPr>
                    <w:webHidden/>
                  </w:rPr>
                  <w:fldChar w:fldCharType="separate"/>
                </w:r>
                <w:r w:rsidR="0089726F">
                  <w:rPr>
                    <w:webHidden/>
                  </w:rPr>
                  <w:t>54</w:t>
                </w:r>
                <w:r w:rsidR="0089726F">
                  <w:rPr>
                    <w:webHidden/>
                  </w:rPr>
                  <w:fldChar w:fldCharType="end"/>
                </w:r>
              </w:hyperlink>
            </w:p>
            <w:p w:rsidR="0089726F" w:rsidRDefault="00FF0E78">
              <w:pPr>
                <w:pStyle w:val="TOC1"/>
                <w:rPr>
                  <w:rFonts w:asciiTheme="minorHAnsi" w:eastAsiaTheme="minorEastAsia" w:hAnsiTheme="minorHAnsi"/>
                  <w:lang w:val="en-AU" w:eastAsia="en-AU"/>
                </w:rPr>
              </w:pPr>
              <w:hyperlink w:anchor="_Toc485303341" w:history="1">
                <w:r w:rsidR="0089726F" w:rsidRPr="00C210C7">
                  <w:rPr>
                    <w:rStyle w:val="Hyperlink"/>
                  </w:rPr>
                  <w:t>3.</w:t>
                </w:r>
                <w:r w:rsidR="0089726F">
                  <w:rPr>
                    <w:rFonts w:asciiTheme="minorHAnsi" w:eastAsiaTheme="minorEastAsia" w:hAnsiTheme="minorHAnsi"/>
                    <w:lang w:val="en-AU" w:eastAsia="en-AU"/>
                  </w:rPr>
                  <w:tab/>
                </w:r>
                <w:r w:rsidR="0089726F" w:rsidRPr="00C210C7">
                  <w:rPr>
                    <w:rStyle w:val="Hyperlink"/>
                  </w:rPr>
                  <w:t>Infrastructure Operators</w:t>
                </w:r>
                <w:r w:rsidR="0089726F">
                  <w:rPr>
                    <w:webHidden/>
                  </w:rPr>
                  <w:tab/>
                </w:r>
                <w:r w:rsidR="0089726F">
                  <w:rPr>
                    <w:webHidden/>
                  </w:rPr>
                  <w:fldChar w:fldCharType="begin"/>
                </w:r>
                <w:r w:rsidR="0089726F">
                  <w:rPr>
                    <w:webHidden/>
                  </w:rPr>
                  <w:instrText xml:space="preserve"> PAGEREF _Toc485303341 \h </w:instrText>
                </w:r>
                <w:r w:rsidR="0089726F">
                  <w:rPr>
                    <w:webHidden/>
                  </w:rPr>
                </w:r>
                <w:r w:rsidR="0089726F">
                  <w:rPr>
                    <w:webHidden/>
                  </w:rPr>
                  <w:fldChar w:fldCharType="separate"/>
                </w:r>
                <w:r w:rsidR="0089726F">
                  <w:rPr>
                    <w:webHidden/>
                  </w:rPr>
                  <w:t>55</w:t>
                </w:r>
                <w:r w:rsidR="0089726F">
                  <w:rPr>
                    <w:webHidden/>
                  </w:rPr>
                  <w:fldChar w:fldCharType="end"/>
                </w:r>
              </w:hyperlink>
            </w:p>
            <w:p w:rsidR="0089726F" w:rsidRDefault="00FF0E78">
              <w:pPr>
                <w:pStyle w:val="TOC2"/>
                <w:rPr>
                  <w:rFonts w:asciiTheme="minorHAnsi" w:eastAsiaTheme="minorEastAsia" w:hAnsiTheme="minorHAnsi"/>
                  <w:lang w:eastAsia="en-AU"/>
                </w:rPr>
              </w:pPr>
              <w:hyperlink w:anchor="_Toc485303342" w:history="1">
                <w:r w:rsidR="0089726F" w:rsidRPr="00C210C7">
                  <w:rPr>
                    <w:rStyle w:val="Hyperlink"/>
                  </w:rPr>
                  <w:t>3.1</w:t>
                </w:r>
                <w:r w:rsidR="0089726F">
                  <w:rPr>
                    <w:rFonts w:asciiTheme="minorHAnsi" w:eastAsiaTheme="minorEastAsia" w:hAnsiTheme="minorHAnsi"/>
                    <w:lang w:eastAsia="en-AU"/>
                  </w:rPr>
                  <w:tab/>
                </w:r>
                <w:r w:rsidR="0089726F" w:rsidRPr="00C210C7">
                  <w:rPr>
                    <w:rStyle w:val="Hyperlink"/>
                  </w:rPr>
                  <w:t>ACCC approach to monitoring</w:t>
                </w:r>
                <w:r w:rsidR="0089726F">
                  <w:rPr>
                    <w:webHidden/>
                  </w:rPr>
                  <w:tab/>
                </w:r>
                <w:r w:rsidR="0089726F">
                  <w:rPr>
                    <w:webHidden/>
                  </w:rPr>
                  <w:fldChar w:fldCharType="begin"/>
                </w:r>
                <w:r w:rsidR="0089726F">
                  <w:rPr>
                    <w:webHidden/>
                  </w:rPr>
                  <w:instrText xml:space="preserve"> PAGEREF _Toc485303342 \h </w:instrText>
                </w:r>
                <w:r w:rsidR="0089726F">
                  <w:rPr>
                    <w:webHidden/>
                  </w:rPr>
                </w:r>
                <w:r w:rsidR="0089726F">
                  <w:rPr>
                    <w:webHidden/>
                  </w:rPr>
                  <w:fldChar w:fldCharType="separate"/>
                </w:r>
                <w:r w:rsidR="0089726F">
                  <w:rPr>
                    <w:webHidden/>
                  </w:rPr>
                  <w:t>55</w:t>
                </w:r>
                <w:r w:rsidR="0089726F">
                  <w:rPr>
                    <w:webHidden/>
                  </w:rPr>
                  <w:fldChar w:fldCharType="end"/>
                </w:r>
              </w:hyperlink>
            </w:p>
            <w:p w:rsidR="0089726F" w:rsidRDefault="00FF0E78">
              <w:pPr>
                <w:pStyle w:val="TOC2"/>
                <w:rPr>
                  <w:rFonts w:asciiTheme="minorHAnsi" w:eastAsiaTheme="minorEastAsia" w:hAnsiTheme="minorHAnsi"/>
                  <w:lang w:eastAsia="en-AU"/>
                </w:rPr>
              </w:pPr>
              <w:hyperlink w:anchor="_Toc485303343" w:history="1">
                <w:r w:rsidR="0089726F" w:rsidRPr="00C210C7">
                  <w:rPr>
                    <w:rStyle w:val="Hyperlink"/>
                  </w:rPr>
                  <w:t>3.2</w:t>
                </w:r>
                <w:r w:rsidR="0089726F">
                  <w:rPr>
                    <w:rFonts w:asciiTheme="minorHAnsi" w:eastAsiaTheme="minorEastAsia" w:hAnsiTheme="minorHAnsi"/>
                    <w:lang w:eastAsia="en-AU"/>
                  </w:rPr>
                  <w:tab/>
                </w:r>
                <w:r w:rsidR="0089726F" w:rsidRPr="00C210C7">
                  <w:rPr>
                    <w:rStyle w:val="Hyperlink"/>
                  </w:rPr>
                  <w:t>Hypothetical bills—on-river infrastructure operators</w:t>
                </w:r>
                <w:r w:rsidR="0089726F">
                  <w:rPr>
                    <w:webHidden/>
                  </w:rPr>
                  <w:tab/>
                </w:r>
                <w:r w:rsidR="0089726F">
                  <w:rPr>
                    <w:webHidden/>
                  </w:rPr>
                  <w:fldChar w:fldCharType="begin"/>
                </w:r>
                <w:r w:rsidR="0089726F">
                  <w:rPr>
                    <w:webHidden/>
                  </w:rPr>
                  <w:instrText xml:space="preserve"> PAGEREF _Toc485303343 \h </w:instrText>
                </w:r>
                <w:r w:rsidR="0089726F">
                  <w:rPr>
                    <w:webHidden/>
                  </w:rPr>
                </w:r>
                <w:r w:rsidR="0089726F">
                  <w:rPr>
                    <w:webHidden/>
                  </w:rPr>
                  <w:fldChar w:fldCharType="separate"/>
                </w:r>
                <w:r w:rsidR="0089726F">
                  <w:rPr>
                    <w:webHidden/>
                  </w:rPr>
                  <w:t>56</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44" w:history="1">
                <w:r w:rsidR="0089726F" w:rsidRPr="00C210C7">
                  <w:rPr>
                    <w:rStyle w:val="Hyperlink"/>
                  </w:rPr>
                  <w:t>3.2.1</w:t>
                </w:r>
                <w:r w:rsidR="0089726F">
                  <w:rPr>
                    <w:rFonts w:asciiTheme="minorHAnsi" w:eastAsiaTheme="minorEastAsia" w:hAnsiTheme="minorHAnsi"/>
                    <w:lang w:eastAsia="en-AU"/>
                  </w:rPr>
                  <w:tab/>
                </w:r>
                <w:r w:rsidR="0089726F" w:rsidRPr="00C210C7">
                  <w:rPr>
                    <w:rStyle w:val="Hyperlink"/>
                  </w:rPr>
                  <w:t>Goulburn-Murray Water, Victoria</w:t>
                </w:r>
                <w:r w:rsidR="0089726F">
                  <w:rPr>
                    <w:webHidden/>
                  </w:rPr>
                  <w:tab/>
                </w:r>
                <w:r w:rsidR="0089726F">
                  <w:rPr>
                    <w:webHidden/>
                  </w:rPr>
                  <w:fldChar w:fldCharType="begin"/>
                </w:r>
                <w:r w:rsidR="0089726F">
                  <w:rPr>
                    <w:webHidden/>
                  </w:rPr>
                  <w:instrText xml:space="preserve"> PAGEREF _Toc485303344 \h </w:instrText>
                </w:r>
                <w:r w:rsidR="0089726F">
                  <w:rPr>
                    <w:webHidden/>
                  </w:rPr>
                </w:r>
                <w:r w:rsidR="0089726F">
                  <w:rPr>
                    <w:webHidden/>
                  </w:rPr>
                  <w:fldChar w:fldCharType="separate"/>
                </w:r>
                <w:r w:rsidR="0089726F">
                  <w:rPr>
                    <w:webHidden/>
                  </w:rPr>
                  <w:t>56</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45" w:history="1">
                <w:r w:rsidR="0089726F" w:rsidRPr="00C210C7">
                  <w:rPr>
                    <w:rStyle w:val="Hyperlink"/>
                  </w:rPr>
                  <w:t>3.2.2</w:t>
                </w:r>
                <w:r w:rsidR="0089726F">
                  <w:rPr>
                    <w:rFonts w:asciiTheme="minorHAnsi" w:eastAsiaTheme="minorEastAsia" w:hAnsiTheme="minorHAnsi"/>
                    <w:lang w:eastAsia="en-AU"/>
                  </w:rPr>
                  <w:tab/>
                </w:r>
                <w:r w:rsidR="0089726F" w:rsidRPr="00C210C7">
                  <w:rPr>
                    <w:rStyle w:val="Hyperlink"/>
                  </w:rPr>
                  <w:t>Lower Murray Water (LMW), Victoria</w:t>
                </w:r>
                <w:r w:rsidR="0089726F">
                  <w:rPr>
                    <w:webHidden/>
                  </w:rPr>
                  <w:tab/>
                </w:r>
                <w:r w:rsidR="0089726F">
                  <w:rPr>
                    <w:webHidden/>
                  </w:rPr>
                  <w:fldChar w:fldCharType="begin"/>
                </w:r>
                <w:r w:rsidR="0089726F">
                  <w:rPr>
                    <w:webHidden/>
                  </w:rPr>
                  <w:instrText xml:space="preserve"> PAGEREF _Toc485303345 \h </w:instrText>
                </w:r>
                <w:r w:rsidR="0089726F">
                  <w:rPr>
                    <w:webHidden/>
                  </w:rPr>
                </w:r>
                <w:r w:rsidR="0089726F">
                  <w:rPr>
                    <w:webHidden/>
                  </w:rPr>
                  <w:fldChar w:fldCharType="separate"/>
                </w:r>
                <w:r w:rsidR="0089726F">
                  <w:rPr>
                    <w:webHidden/>
                  </w:rPr>
                  <w:t>57</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46" w:history="1">
                <w:r w:rsidR="0089726F" w:rsidRPr="00C210C7">
                  <w:rPr>
                    <w:rStyle w:val="Hyperlink"/>
                  </w:rPr>
                  <w:t>3.2.3</w:t>
                </w:r>
                <w:r w:rsidR="0089726F">
                  <w:rPr>
                    <w:rFonts w:asciiTheme="minorHAnsi" w:eastAsiaTheme="minorEastAsia" w:hAnsiTheme="minorHAnsi"/>
                    <w:lang w:eastAsia="en-AU"/>
                  </w:rPr>
                  <w:tab/>
                </w:r>
                <w:r w:rsidR="0089726F" w:rsidRPr="00C210C7">
                  <w:rPr>
                    <w:rStyle w:val="Hyperlink"/>
                  </w:rPr>
                  <w:t>WaterNSW, NSW</w:t>
                </w:r>
                <w:r w:rsidR="0089726F">
                  <w:rPr>
                    <w:webHidden/>
                  </w:rPr>
                  <w:tab/>
                </w:r>
                <w:r w:rsidR="0089726F">
                  <w:rPr>
                    <w:webHidden/>
                  </w:rPr>
                  <w:fldChar w:fldCharType="begin"/>
                </w:r>
                <w:r w:rsidR="0089726F">
                  <w:rPr>
                    <w:webHidden/>
                  </w:rPr>
                  <w:instrText xml:space="preserve"> PAGEREF _Toc485303346 \h </w:instrText>
                </w:r>
                <w:r w:rsidR="0089726F">
                  <w:rPr>
                    <w:webHidden/>
                  </w:rPr>
                </w:r>
                <w:r w:rsidR="0089726F">
                  <w:rPr>
                    <w:webHidden/>
                  </w:rPr>
                  <w:fldChar w:fldCharType="separate"/>
                </w:r>
                <w:r w:rsidR="0089726F">
                  <w:rPr>
                    <w:webHidden/>
                  </w:rPr>
                  <w:t>58</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47" w:history="1">
                <w:r w:rsidR="0089726F" w:rsidRPr="00C210C7">
                  <w:rPr>
                    <w:rStyle w:val="Hyperlink"/>
                  </w:rPr>
                  <w:t>3.2.4</w:t>
                </w:r>
                <w:r w:rsidR="0089726F">
                  <w:rPr>
                    <w:rFonts w:asciiTheme="minorHAnsi" w:eastAsiaTheme="minorEastAsia" w:hAnsiTheme="minorHAnsi"/>
                    <w:lang w:eastAsia="en-AU"/>
                  </w:rPr>
                  <w:tab/>
                </w:r>
                <w:r w:rsidR="0089726F" w:rsidRPr="00C210C7">
                  <w:rPr>
                    <w:rStyle w:val="Hyperlink"/>
                  </w:rPr>
                  <w:t>Department of Natural Resources and Mines (DNRM), Queensland</w:t>
                </w:r>
                <w:r w:rsidR="0089726F">
                  <w:rPr>
                    <w:webHidden/>
                  </w:rPr>
                  <w:tab/>
                </w:r>
                <w:r w:rsidR="0089726F">
                  <w:rPr>
                    <w:webHidden/>
                  </w:rPr>
                  <w:fldChar w:fldCharType="begin"/>
                </w:r>
                <w:r w:rsidR="0089726F">
                  <w:rPr>
                    <w:webHidden/>
                  </w:rPr>
                  <w:instrText xml:space="preserve"> PAGEREF _Toc485303347 \h </w:instrText>
                </w:r>
                <w:r w:rsidR="0089726F">
                  <w:rPr>
                    <w:webHidden/>
                  </w:rPr>
                </w:r>
                <w:r w:rsidR="0089726F">
                  <w:rPr>
                    <w:webHidden/>
                  </w:rPr>
                  <w:fldChar w:fldCharType="separate"/>
                </w:r>
                <w:r w:rsidR="0089726F">
                  <w:rPr>
                    <w:webHidden/>
                  </w:rPr>
                  <w:t>63</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48" w:history="1">
                <w:r w:rsidR="0089726F" w:rsidRPr="00C210C7">
                  <w:rPr>
                    <w:rStyle w:val="Hyperlink"/>
                  </w:rPr>
                  <w:t>3.2.5</w:t>
                </w:r>
                <w:r w:rsidR="0089726F">
                  <w:rPr>
                    <w:rFonts w:asciiTheme="minorHAnsi" w:eastAsiaTheme="minorEastAsia" w:hAnsiTheme="minorHAnsi"/>
                    <w:lang w:eastAsia="en-AU"/>
                  </w:rPr>
                  <w:tab/>
                </w:r>
                <w:r w:rsidR="0089726F" w:rsidRPr="00C210C7">
                  <w:rPr>
                    <w:rStyle w:val="Hyperlink"/>
                  </w:rPr>
                  <w:t>SunWater, Queensland</w:t>
                </w:r>
                <w:r w:rsidR="0089726F">
                  <w:rPr>
                    <w:webHidden/>
                  </w:rPr>
                  <w:tab/>
                </w:r>
                <w:r w:rsidR="0089726F">
                  <w:rPr>
                    <w:webHidden/>
                  </w:rPr>
                  <w:fldChar w:fldCharType="begin"/>
                </w:r>
                <w:r w:rsidR="0089726F">
                  <w:rPr>
                    <w:webHidden/>
                  </w:rPr>
                  <w:instrText xml:space="preserve"> PAGEREF _Toc485303348 \h </w:instrText>
                </w:r>
                <w:r w:rsidR="0089726F">
                  <w:rPr>
                    <w:webHidden/>
                  </w:rPr>
                </w:r>
                <w:r w:rsidR="0089726F">
                  <w:rPr>
                    <w:webHidden/>
                  </w:rPr>
                  <w:fldChar w:fldCharType="separate"/>
                </w:r>
                <w:r w:rsidR="0089726F">
                  <w:rPr>
                    <w:webHidden/>
                  </w:rPr>
                  <w:t>63</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49" w:history="1">
                <w:r w:rsidR="0089726F" w:rsidRPr="00C210C7">
                  <w:rPr>
                    <w:rStyle w:val="Hyperlink"/>
                  </w:rPr>
                  <w:t>3.2.6</w:t>
                </w:r>
                <w:r w:rsidR="0089726F">
                  <w:rPr>
                    <w:rFonts w:asciiTheme="minorHAnsi" w:eastAsiaTheme="minorEastAsia" w:hAnsiTheme="minorHAnsi"/>
                    <w:lang w:eastAsia="en-AU"/>
                  </w:rPr>
                  <w:tab/>
                </w:r>
                <w:r w:rsidR="0089726F" w:rsidRPr="00C210C7">
                  <w:rPr>
                    <w:rStyle w:val="Hyperlink"/>
                  </w:rPr>
                  <w:t>South Australian Murray private diverter, South Australia</w:t>
                </w:r>
                <w:r w:rsidR="0089726F">
                  <w:rPr>
                    <w:webHidden/>
                  </w:rPr>
                  <w:tab/>
                </w:r>
                <w:r w:rsidR="0089726F">
                  <w:rPr>
                    <w:webHidden/>
                  </w:rPr>
                  <w:fldChar w:fldCharType="begin"/>
                </w:r>
                <w:r w:rsidR="0089726F">
                  <w:rPr>
                    <w:webHidden/>
                  </w:rPr>
                  <w:instrText xml:space="preserve"> PAGEREF _Toc485303349 \h </w:instrText>
                </w:r>
                <w:r w:rsidR="0089726F">
                  <w:rPr>
                    <w:webHidden/>
                  </w:rPr>
                </w:r>
                <w:r w:rsidR="0089726F">
                  <w:rPr>
                    <w:webHidden/>
                  </w:rPr>
                  <w:fldChar w:fldCharType="separate"/>
                </w:r>
                <w:r w:rsidR="0089726F">
                  <w:rPr>
                    <w:webHidden/>
                  </w:rPr>
                  <w:t>71</w:t>
                </w:r>
                <w:r w:rsidR="0089726F">
                  <w:rPr>
                    <w:webHidden/>
                  </w:rPr>
                  <w:fldChar w:fldCharType="end"/>
                </w:r>
              </w:hyperlink>
            </w:p>
            <w:p w:rsidR="0089726F" w:rsidRDefault="00FF0E78">
              <w:pPr>
                <w:pStyle w:val="TOC2"/>
                <w:rPr>
                  <w:rFonts w:asciiTheme="minorHAnsi" w:eastAsiaTheme="minorEastAsia" w:hAnsiTheme="minorHAnsi"/>
                  <w:lang w:eastAsia="en-AU"/>
                </w:rPr>
              </w:pPr>
              <w:hyperlink w:anchor="_Toc485303350" w:history="1">
                <w:r w:rsidR="0089726F" w:rsidRPr="00C210C7">
                  <w:rPr>
                    <w:rStyle w:val="Hyperlink"/>
                  </w:rPr>
                  <w:t>3.3</w:t>
                </w:r>
                <w:r w:rsidR="0089726F">
                  <w:rPr>
                    <w:rFonts w:asciiTheme="minorHAnsi" w:eastAsiaTheme="minorEastAsia" w:hAnsiTheme="minorHAnsi"/>
                    <w:lang w:eastAsia="en-AU"/>
                  </w:rPr>
                  <w:tab/>
                </w:r>
                <w:r w:rsidR="0089726F" w:rsidRPr="00C210C7">
                  <w:rPr>
                    <w:rStyle w:val="Hyperlink"/>
                  </w:rPr>
                  <w:t>Hypothetical bills—off-river infrastructure operators</w:t>
                </w:r>
                <w:r w:rsidR="0089726F">
                  <w:rPr>
                    <w:webHidden/>
                  </w:rPr>
                  <w:tab/>
                </w:r>
                <w:r w:rsidR="0089726F">
                  <w:rPr>
                    <w:webHidden/>
                  </w:rPr>
                  <w:fldChar w:fldCharType="begin"/>
                </w:r>
                <w:r w:rsidR="0089726F">
                  <w:rPr>
                    <w:webHidden/>
                  </w:rPr>
                  <w:instrText xml:space="preserve"> PAGEREF _Toc485303350 \h </w:instrText>
                </w:r>
                <w:r w:rsidR="0089726F">
                  <w:rPr>
                    <w:webHidden/>
                  </w:rPr>
                </w:r>
                <w:r w:rsidR="0089726F">
                  <w:rPr>
                    <w:webHidden/>
                  </w:rPr>
                  <w:fldChar w:fldCharType="separate"/>
                </w:r>
                <w:r w:rsidR="0089726F">
                  <w:rPr>
                    <w:webHidden/>
                  </w:rPr>
                  <w:t>73</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51" w:history="1">
                <w:r w:rsidR="0089726F" w:rsidRPr="00C210C7">
                  <w:rPr>
                    <w:rStyle w:val="Hyperlink"/>
                  </w:rPr>
                  <w:t>3.3.1</w:t>
                </w:r>
                <w:r w:rsidR="0089726F">
                  <w:rPr>
                    <w:rFonts w:asciiTheme="minorHAnsi" w:eastAsiaTheme="minorEastAsia" w:hAnsiTheme="minorHAnsi"/>
                    <w:lang w:eastAsia="en-AU"/>
                  </w:rPr>
                  <w:tab/>
                </w:r>
                <w:r w:rsidR="0089726F" w:rsidRPr="00C210C7">
                  <w:rPr>
                    <w:rStyle w:val="Hyperlink"/>
                  </w:rPr>
                  <w:t>Central Irrigation Trust (CIT), South Australian Murray</w:t>
                </w:r>
                <w:r w:rsidR="0089726F">
                  <w:rPr>
                    <w:webHidden/>
                  </w:rPr>
                  <w:tab/>
                </w:r>
                <w:r w:rsidR="0089726F">
                  <w:rPr>
                    <w:webHidden/>
                  </w:rPr>
                  <w:fldChar w:fldCharType="begin"/>
                </w:r>
                <w:r w:rsidR="0089726F">
                  <w:rPr>
                    <w:webHidden/>
                  </w:rPr>
                  <w:instrText xml:space="preserve"> PAGEREF _Toc485303351 \h </w:instrText>
                </w:r>
                <w:r w:rsidR="0089726F">
                  <w:rPr>
                    <w:webHidden/>
                  </w:rPr>
                </w:r>
                <w:r w:rsidR="0089726F">
                  <w:rPr>
                    <w:webHidden/>
                  </w:rPr>
                  <w:fldChar w:fldCharType="separate"/>
                </w:r>
                <w:r w:rsidR="0089726F">
                  <w:rPr>
                    <w:webHidden/>
                  </w:rPr>
                  <w:t>74</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52" w:history="1">
                <w:r w:rsidR="0089726F" w:rsidRPr="00C210C7">
                  <w:rPr>
                    <w:rStyle w:val="Hyperlink"/>
                  </w:rPr>
                  <w:t>3.3.2</w:t>
                </w:r>
                <w:r w:rsidR="0089726F">
                  <w:rPr>
                    <w:rFonts w:asciiTheme="minorHAnsi" w:eastAsiaTheme="minorEastAsia" w:hAnsiTheme="minorHAnsi"/>
                    <w:lang w:eastAsia="en-AU"/>
                  </w:rPr>
                  <w:tab/>
                </w:r>
                <w:r w:rsidR="0089726F" w:rsidRPr="00C210C7">
                  <w:rPr>
                    <w:rStyle w:val="Hyperlink"/>
                  </w:rPr>
                  <w:t>Renmark Irrigation Trust (RIT), South Australian Murray</w:t>
                </w:r>
                <w:r w:rsidR="0089726F">
                  <w:rPr>
                    <w:webHidden/>
                  </w:rPr>
                  <w:tab/>
                </w:r>
                <w:r w:rsidR="0089726F">
                  <w:rPr>
                    <w:webHidden/>
                  </w:rPr>
                  <w:fldChar w:fldCharType="begin"/>
                </w:r>
                <w:r w:rsidR="0089726F">
                  <w:rPr>
                    <w:webHidden/>
                  </w:rPr>
                  <w:instrText xml:space="preserve"> PAGEREF _Toc485303352 \h </w:instrText>
                </w:r>
                <w:r w:rsidR="0089726F">
                  <w:rPr>
                    <w:webHidden/>
                  </w:rPr>
                </w:r>
                <w:r w:rsidR="0089726F">
                  <w:rPr>
                    <w:webHidden/>
                  </w:rPr>
                  <w:fldChar w:fldCharType="separate"/>
                </w:r>
                <w:r w:rsidR="0089726F">
                  <w:rPr>
                    <w:webHidden/>
                  </w:rPr>
                  <w:t>79</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53" w:history="1">
                <w:r w:rsidR="0089726F" w:rsidRPr="00C210C7">
                  <w:rPr>
                    <w:rStyle w:val="Hyperlink"/>
                  </w:rPr>
                  <w:t>3.3.3</w:t>
                </w:r>
                <w:r w:rsidR="0089726F">
                  <w:rPr>
                    <w:rFonts w:asciiTheme="minorHAnsi" w:eastAsiaTheme="minorEastAsia" w:hAnsiTheme="minorHAnsi"/>
                    <w:lang w:eastAsia="en-AU"/>
                  </w:rPr>
                  <w:tab/>
                </w:r>
                <w:r w:rsidR="0089726F" w:rsidRPr="00C210C7">
                  <w:rPr>
                    <w:rStyle w:val="Hyperlink"/>
                  </w:rPr>
                  <w:t>Goulburn-Murray Water (GMW), Victoria</w:t>
                </w:r>
                <w:r w:rsidR="0089726F">
                  <w:rPr>
                    <w:webHidden/>
                  </w:rPr>
                  <w:tab/>
                </w:r>
                <w:r w:rsidR="0089726F">
                  <w:rPr>
                    <w:webHidden/>
                  </w:rPr>
                  <w:fldChar w:fldCharType="begin"/>
                </w:r>
                <w:r w:rsidR="0089726F">
                  <w:rPr>
                    <w:webHidden/>
                  </w:rPr>
                  <w:instrText xml:space="preserve"> PAGEREF _Toc485303353 \h </w:instrText>
                </w:r>
                <w:r w:rsidR="0089726F">
                  <w:rPr>
                    <w:webHidden/>
                  </w:rPr>
                </w:r>
                <w:r w:rsidR="0089726F">
                  <w:rPr>
                    <w:webHidden/>
                  </w:rPr>
                  <w:fldChar w:fldCharType="separate"/>
                </w:r>
                <w:r w:rsidR="0089726F">
                  <w:rPr>
                    <w:webHidden/>
                  </w:rPr>
                  <w:t>82</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54" w:history="1">
                <w:r w:rsidR="0089726F" w:rsidRPr="00C210C7">
                  <w:rPr>
                    <w:rStyle w:val="Hyperlink"/>
                  </w:rPr>
                  <w:t>3.3.4</w:t>
                </w:r>
                <w:r w:rsidR="0089726F">
                  <w:rPr>
                    <w:rFonts w:asciiTheme="minorHAnsi" w:eastAsiaTheme="minorEastAsia" w:hAnsiTheme="minorHAnsi"/>
                    <w:lang w:eastAsia="en-AU"/>
                  </w:rPr>
                  <w:tab/>
                </w:r>
                <w:r w:rsidR="0089726F" w:rsidRPr="00C210C7">
                  <w:rPr>
                    <w:rStyle w:val="Hyperlink"/>
                  </w:rPr>
                  <w:t>Lower Murray Water (LMW), Victoria</w:t>
                </w:r>
                <w:r w:rsidR="0089726F">
                  <w:rPr>
                    <w:webHidden/>
                  </w:rPr>
                  <w:tab/>
                </w:r>
                <w:r w:rsidR="0089726F">
                  <w:rPr>
                    <w:webHidden/>
                  </w:rPr>
                  <w:fldChar w:fldCharType="begin"/>
                </w:r>
                <w:r w:rsidR="0089726F">
                  <w:rPr>
                    <w:webHidden/>
                  </w:rPr>
                  <w:instrText xml:space="preserve"> PAGEREF _Toc485303354 \h </w:instrText>
                </w:r>
                <w:r w:rsidR="0089726F">
                  <w:rPr>
                    <w:webHidden/>
                  </w:rPr>
                </w:r>
                <w:r w:rsidR="0089726F">
                  <w:rPr>
                    <w:webHidden/>
                  </w:rPr>
                  <w:fldChar w:fldCharType="separate"/>
                </w:r>
                <w:r w:rsidR="0089726F">
                  <w:rPr>
                    <w:webHidden/>
                  </w:rPr>
                  <w:t>87</w:t>
                </w:r>
                <w:r w:rsidR="0089726F">
                  <w:rPr>
                    <w:webHidden/>
                  </w:rPr>
                  <w:fldChar w:fldCharType="end"/>
                </w:r>
              </w:hyperlink>
            </w:p>
            <w:p w:rsidR="0089726F" w:rsidRDefault="00FF0E78" w:rsidP="0089726F">
              <w:pPr>
                <w:pStyle w:val="TOC3"/>
                <w:ind w:left="1751" w:hanging="900"/>
                <w:rPr>
                  <w:rFonts w:asciiTheme="minorHAnsi" w:eastAsiaTheme="minorEastAsia" w:hAnsiTheme="minorHAnsi"/>
                  <w:lang w:eastAsia="en-AU"/>
                </w:rPr>
              </w:pPr>
              <w:hyperlink w:anchor="_Toc485303355" w:history="1">
                <w:r w:rsidR="0089726F" w:rsidRPr="00C210C7">
                  <w:rPr>
                    <w:rStyle w:val="Hyperlink"/>
                  </w:rPr>
                  <w:t>3.3.5</w:t>
                </w:r>
                <w:r w:rsidR="0089726F">
                  <w:rPr>
                    <w:rFonts w:asciiTheme="minorHAnsi" w:eastAsiaTheme="minorEastAsia" w:hAnsiTheme="minorHAnsi"/>
                    <w:lang w:eastAsia="en-AU"/>
                  </w:rPr>
                  <w:tab/>
                </w:r>
                <w:r w:rsidR="0089726F">
                  <w:rPr>
                    <w:rFonts w:asciiTheme="minorHAnsi" w:eastAsiaTheme="minorEastAsia" w:hAnsiTheme="minorHAnsi"/>
                    <w:lang w:eastAsia="en-AU"/>
                  </w:rPr>
                  <w:tab/>
                </w:r>
                <w:r w:rsidR="0089726F" w:rsidRPr="00C210C7">
                  <w:rPr>
                    <w:rStyle w:val="Hyperlink"/>
                  </w:rPr>
                  <w:t xml:space="preserve">West Corurgan Private Irrigation District (West Corurgan), </w:t>
                </w:r>
                <w:r w:rsidR="0089726F">
                  <w:rPr>
                    <w:rStyle w:val="Hyperlink"/>
                  </w:rPr>
                  <w:br/>
                </w:r>
                <w:r w:rsidR="0089726F" w:rsidRPr="00C210C7">
                  <w:rPr>
                    <w:rStyle w:val="Hyperlink"/>
                  </w:rPr>
                  <w:t>NSW Murray</w:t>
                </w:r>
                <w:r w:rsidR="0089726F">
                  <w:rPr>
                    <w:webHidden/>
                  </w:rPr>
                  <w:tab/>
                </w:r>
                <w:r w:rsidR="0089726F">
                  <w:rPr>
                    <w:webHidden/>
                  </w:rPr>
                  <w:fldChar w:fldCharType="begin"/>
                </w:r>
                <w:r w:rsidR="0089726F">
                  <w:rPr>
                    <w:webHidden/>
                  </w:rPr>
                  <w:instrText xml:space="preserve"> PAGEREF _Toc485303355 \h </w:instrText>
                </w:r>
                <w:r w:rsidR="0089726F">
                  <w:rPr>
                    <w:webHidden/>
                  </w:rPr>
                </w:r>
                <w:r w:rsidR="0089726F">
                  <w:rPr>
                    <w:webHidden/>
                  </w:rPr>
                  <w:fldChar w:fldCharType="separate"/>
                </w:r>
                <w:r w:rsidR="0089726F">
                  <w:rPr>
                    <w:webHidden/>
                  </w:rPr>
                  <w:t>90</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56" w:history="1">
                <w:r w:rsidR="0089726F" w:rsidRPr="00C210C7">
                  <w:rPr>
                    <w:rStyle w:val="Hyperlink"/>
                  </w:rPr>
                  <w:t>3.3.6</w:t>
                </w:r>
                <w:r w:rsidR="0089726F">
                  <w:rPr>
                    <w:rFonts w:asciiTheme="minorHAnsi" w:eastAsiaTheme="minorEastAsia" w:hAnsiTheme="minorHAnsi"/>
                    <w:lang w:eastAsia="en-AU"/>
                  </w:rPr>
                  <w:tab/>
                </w:r>
                <w:r w:rsidR="0089726F" w:rsidRPr="00C210C7">
                  <w:rPr>
                    <w:rStyle w:val="Hyperlink"/>
                  </w:rPr>
                  <w:t>Moira Private Irrigation District (Moira), NSW Murray</w:t>
                </w:r>
                <w:r w:rsidR="0089726F">
                  <w:rPr>
                    <w:webHidden/>
                  </w:rPr>
                  <w:tab/>
                </w:r>
                <w:r w:rsidR="0089726F">
                  <w:rPr>
                    <w:webHidden/>
                  </w:rPr>
                  <w:fldChar w:fldCharType="begin"/>
                </w:r>
                <w:r w:rsidR="0089726F">
                  <w:rPr>
                    <w:webHidden/>
                  </w:rPr>
                  <w:instrText xml:space="preserve"> PAGEREF _Toc485303356 \h </w:instrText>
                </w:r>
                <w:r w:rsidR="0089726F">
                  <w:rPr>
                    <w:webHidden/>
                  </w:rPr>
                </w:r>
                <w:r w:rsidR="0089726F">
                  <w:rPr>
                    <w:webHidden/>
                  </w:rPr>
                  <w:fldChar w:fldCharType="separate"/>
                </w:r>
                <w:r w:rsidR="0089726F">
                  <w:rPr>
                    <w:webHidden/>
                  </w:rPr>
                  <w:t>93</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57" w:history="1">
                <w:r w:rsidR="0089726F" w:rsidRPr="00C210C7">
                  <w:rPr>
                    <w:rStyle w:val="Hyperlink"/>
                  </w:rPr>
                  <w:t>3.3.7</w:t>
                </w:r>
                <w:r w:rsidR="0089726F">
                  <w:rPr>
                    <w:rFonts w:asciiTheme="minorHAnsi" w:eastAsiaTheme="minorEastAsia" w:hAnsiTheme="minorHAnsi"/>
                    <w:lang w:eastAsia="en-AU"/>
                  </w:rPr>
                  <w:tab/>
                </w:r>
                <w:r w:rsidR="0089726F" w:rsidRPr="00C210C7">
                  <w:rPr>
                    <w:rStyle w:val="Hyperlink"/>
                  </w:rPr>
                  <w:t>Murray Irrigation Limited (MIL), NSW Murray</w:t>
                </w:r>
                <w:r w:rsidR="0089726F">
                  <w:rPr>
                    <w:webHidden/>
                  </w:rPr>
                  <w:tab/>
                </w:r>
                <w:r w:rsidR="0089726F">
                  <w:rPr>
                    <w:webHidden/>
                  </w:rPr>
                  <w:fldChar w:fldCharType="begin"/>
                </w:r>
                <w:r w:rsidR="0089726F">
                  <w:rPr>
                    <w:webHidden/>
                  </w:rPr>
                  <w:instrText xml:space="preserve"> PAGEREF _Toc485303357 \h </w:instrText>
                </w:r>
                <w:r w:rsidR="0089726F">
                  <w:rPr>
                    <w:webHidden/>
                  </w:rPr>
                </w:r>
                <w:r w:rsidR="0089726F">
                  <w:rPr>
                    <w:webHidden/>
                  </w:rPr>
                  <w:fldChar w:fldCharType="separate"/>
                </w:r>
                <w:r w:rsidR="0089726F">
                  <w:rPr>
                    <w:webHidden/>
                  </w:rPr>
                  <w:t>94</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58" w:history="1">
                <w:r w:rsidR="0089726F" w:rsidRPr="00C210C7">
                  <w:rPr>
                    <w:rStyle w:val="Hyperlink"/>
                  </w:rPr>
                  <w:t>3.3.8</w:t>
                </w:r>
                <w:r w:rsidR="0089726F">
                  <w:rPr>
                    <w:rFonts w:asciiTheme="minorHAnsi" w:eastAsiaTheme="minorEastAsia" w:hAnsiTheme="minorHAnsi"/>
                    <w:lang w:eastAsia="en-AU"/>
                  </w:rPr>
                  <w:tab/>
                </w:r>
                <w:r w:rsidR="0089726F" w:rsidRPr="00C210C7">
                  <w:rPr>
                    <w:rStyle w:val="Hyperlink"/>
                  </w:rPr>
                  <w:t>Eagle Creek Pumping Syndicate (Eagle Creek), NSW Murray</w:t>
                </w:r>
                <w:r w:rsidR="0089726F">
                  <w:rPr>
                    <w:webHidden/>
                  </w:rPr>
                  <w:tab/>
                </w:r>
                <w:r w:rsidR="0089726F">
                  <w:rPr>
                    <w:webHidden/>
                  </w:rPr>
                  <w:fldChar w:fldCharType="begin"/>
                </w:r>
                <w:r w:rsidR="0089726F">
                  <w:rPr>
                    <w:webHidden/>
                  </w:rPr>
                  <w:instrText xml:space="preserve"> PAGEREF _Toc485303358 \h </w:instrText>
                </w:r>
                <w:r w:rsidR="0089726F">
                  <w:rPr>
                    <w:webHidden/>
                  </w:rPr>
                </w:r>
                <w:r w:rsidR="0089726F">
                  <w:rPr>
                    <w:webHidden/>
                  </w:rPr>
                  <w:fldChar w:fldCharType="separate"/>
                </w:r>
                <w:r w:rsidR="0089726F">
                  <w:rPr>
                    <w:webHidden/>
                  </w:rPr>
                  <w:t>100</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59" w:history="1">
                <w:r w:rsidR="0089726F" w:rsidRPr="00C210C7">
                  <w:rPr>
                    <w:rStyle w:val="Hyperlink"/>
                  </w:rPr>
                  <w:t>3.3.9</w:t>
                </w:r>
                <w:r w:rsidR="0089726F">
                  <w:rPr>
                    <w:rFonts w:asciiTheme="minorHAnsi" w:eastAsiaTheme="minorEastAsia" w:hAnsiTheme="minorHAnsi"/>
                    <w:lang w:eastAsia="en-AU"/>
                  </w:rPr>
                  <w:tab/>
                </w:r>
                <w:r w:rsidR="0089726F" w:rsidRPr="00C210C7">
                  <w:rPr>
                    <w:rStyle w:val="Hyperlink"/>
                  </w:rPr>
                  <w:t>Western Murray Irrigation (WMI), NSW Murray</w:t>
                </w:r>
                <w:r w:rsidR="0089726F">
                  <w:rPr>
                    <w:webHidden/>
                  </w:rPr>
                  <w:tab/>
                </w:r>
                <w:r w:rsidR="0089726F">
                  <w:rPr>
                    <w:webHidden/>
                  </w:rPr>
                  <w:fldChar w:fldCharType="begin"/>
                </w:r>
                <w:r w:rsidR="0089726F">
                  <w:rPr>
                    <w:webHidden/>
                  </w:rPr>
                  <w:instrText xml:space="preserve"> PAGEREF _Toc485303359 \h </w:instrText>
                </w:r>
                <w:r w:rsidR="0089726F">
                  <w:rPr>
                    <w:webHidden/>
                  </w:rPr>
                </w:r>
                <w:r w:rsidR="0089726F">
                  <w:rPr>
                    <w:webHidden/>
                  </w:rPr>
                  <w:fldChar w:fldCharType="separate"/>
                </w:r>
                <w:r w:rsidR="0089726F">
                  <w:rPr>
                    <w:webHidden/>
                  </w:rPr>
                  <w:t>103</w:t>
                </w:r>
                <w:r w:rsidR="0089726F">
                  <w:rPr>
                    <w:webHidden/>
                  </w:rPr>
                  <w:fldChar w:fldCharType="end"/>
                </w:r>
              </w:hyperlink>
            </w:p>
            <w:p w:rsidR="0089726F" w:rsidRDefault="00FF0E78" w:rsidP="0089726F">
              <w:pPr>
                <w:pStyle w:val="TOC3"/>
                <w:ind w:left="1751" w:hanging="900"/>
                <w:rPr>
                  <w:rFonts w:asciiTheme="minorHAnsi" w:eastAsiaTheme="minorEastAsia" w:hAnsiTheme="minorHAnsi"/>
                  <w:lang w:eastAsia="en-AU"/>
                </w:rPr>
              </w:pPr>
              <w:hyperlink w:anchor="_Toc485303360" w:history="1">
                <w:r w:rsidR="0089726F" w:rsidRPr="00C210C7">
                  <w:rPr>
                    <w:rStyle w:val="Hyperlink"/>
                  </w:rPr>
                  <w:t>3.3.10</w:t>
                </w:r>
                <w:r w:rsidR="0089726F">
                  <w:rPr>
                    <w:rFonts w:asciiTheme="minorHAnsi" w:eastAsiaTheme="minorEastAsia" w:hAnsiTheme="minorHAnsi"/>
                    <w:lang w:eastAsia="en-AU"/>
                  </w:rPr>
                  <w:tab/>
                </w:r>
                <w:r w:rsidR="0089726F" w:rsidRPr="00C210C7">
                  <w:rPr>
                    <w:rStyle w:val="Hyperlink"/>
                  </w:rPr>
                  <w:t xml:space="preserve">Coleambally Irrigation Cooperative Limited (CICL), </w:t>
                </w:r>
                <w:r w:rsidR="0089726F">
                  <w:rPr>
                    <w:rStyle w:val="Hyperlink"/>
                  </w:rPr>
                  <w:br/>
                </w:r>
                <w:r w:rsidR="0089726F" w:rsidRPr="00C210C7">
                  <w:rPr>
                    <w:rStyle w:val="Hyperlink"/>
                  </w:rPr>
                  <w:t>NSW Murrumbidgee</w:t>
                </w:r>
                <w:r w:rsidR="0089726F">
                  <w:rPr>
                    <w:webHidden/>
                  </w:rPr>
                  <w:tab/>
                </w:r>
                <w:r w:rsidR="0089726F">
                  <w:rPr>
                    <w:webHidden/>
                  </w:rPr>
                  <w:fldChar w:fldCharType="begin"/>
                </w:r>
                <w:r w:rsidR="0089726F">
                  <w:rPr>
                    <w:webHidden/>
                  </w:rPr>
                  <w:instrText xml:space="preserve"> PAGEREF _Toc485303360 \h </w:instrText>
                </w:r>
                <w:r w:rsidR="0089726F">
                  <w:rPr>
                    <w:webHidden/>
                  </w:rPr>
                </w:r>
                <w:r w:rsidR="0089726F">
                  <w:rPr>
                    <w:webHidden/>
                  </w:rPr>
                  <w:fldChar w:fldCharType="separate"/>
                </w:r>
                <w:r w:rsidR="0089726F">
                  <w:rPr>
                    <w:webHidden/>
                  </w:rPr>
                  <w:t>107</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61" w:history="1">
                <w:r w:rsidR="0089726F" w:rsidRPr="00C210C7">
                  <w:rPr>
                    <w:rStyle w:val="Hyperlink"/>
                  </w:rPr>
                  <w:t>3.3.11</w:t>
                </w:r>
                <w:r w:rsidR="0089726F">
                  <w:rPr>
                    <w:rFonts w:asciiTheme="minorHAnsi" w:eastAsiaTheme="minorEastAsia" w:hAnsiTheme="minorHAnsi"/>
                    <w:lang w:eastAsia="en-AU"/>
                  </w:rPr>
                  <w:tab/>
                </w:r>
                <w:r w:rsidR="0089726F" w:rsidRPr="00C210C7">
                  <w:rPr>
                    <w:rStyle w:val="Hyperlink"/>
                  </w:rPr>
                  <w:t>Murrumbidgee Irrigation Limited (MI), NSW Murrumbidgee</w:t>
                </w:r>
                <w:r w:rsidR="0089726F">
                  <w:rPr>
                    <w:webHidden/>
                  </w:rPr>
                  <w:tab/>
                </w:r>
                <w:r w:rsidR="0089726F">
                  <w:rPr>
                    <w:webHidden/>
                  </w:rPr>
                  <w:fldChar w:fldCharType="begin"/>
                </w:r>
                <w:r w:rsidR="0089726F">
                  <w:rPr>
                    <w:webHidden/>
                  </w:rPr>
                  <w:instrText xml:space="preserve"> PAGEREF _Toc485303361 \h </w:instrText>
                </w:r>
                <w:r w:rsidR="0089726F">
                  <w:rPr>
                    <w:webHidden/>
                  </w:rPr>
                </w:r>
                <w:r w:rsidR="0089726F">
                  <w:rPr>
                    <w:webHidden/>
                  </w:rPr>
                  <w:fldChar w:fldCharType="separate"/>
                </w:r>
                <w:r w:rsidR="0089726F">
                  <w:rPr>
                    <w:webHidden/>
                  </w:rPr>
                  <w:t>111</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62" w:history="1">
                <w:r w:rsidR="0089726F" w:rsidRPr="00C210C7">
                  <w:rPr>
                    <w:rStyle w:val="Hyperlink"/>
                  </w:rPr>
                  <w:t>3.3.12</w:t>
                </w:r>
                <w:r w:rsidR="0089726F">
                  <w:rPr>
                    <w:rFonts w:asciiTheme="minorHAnsi" w:eastAsiaTheme="minorEastAsia" w:hAnsiTheme="minorHAnsi"/>
                    <w:lang w:eastAsia="en-AU"/>
                  </w:rPr>
                  <w:tab/>
                </w:r>
                <w:r w:rsidR="0089726F" w:rsidRPr="00C210C7">
                  <w:rPr>
                    <w:rStyle w:val="Hyperlink"/>
                  </w:rPr>
                  <w:t>Hay Private Irrigation District (Hay), NSW Murrumbidgee</w:t>
                </w:r>
                <w:r w:rsidR="0089726F">
                  <w:rPr>
                    <w:webHidden/>
                  </w:rPr>
                  <w:tab/>
                </w:r>
                <w:r w:rsidR="0089726F">
                  <w:rPr>
                    <w:webHidden/>
                  </w:rPr>
                  <w:fldChar w:fldCharType="begin"/>
                </w:r>
                <w:r w:rsidR="0089726F">
                  <w:rPr>
                    <w:webHidden/>
                  </w:rPr>
                  <w:instrText xml:space="preserve"> PAGEREF _Toc485303362 \h </w:instrText>
                </w:r>
                <w:r w:rsidR="0089726F">
                  <w:rPr>
                    <w:webHidden/>
                  </w:rPr>
                </w:r>
                <w:r w:rsidR="0089726F">
                  <w:rPr>
                    <w:webHidden/>
                  </w:rPr>
                  <w:fldChar w:fldCharType="separate"/>
                </w:r>
                <w:r w:rsidR="0089726F">
                  <w:rPr>
                    <w:webHidden/>
                  </w:rPr>
                  <w:t>117</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63" w:history="1">
                <w:r w:rsidR="0089726F" w:rsidRPr="00C210C7">
                  <w:rPr>
                    <w:rStyle w:val="Hyperlink"/>
                  </w:rPr>
                  <w:t>3.3.13</w:t>
                </w:r>
                <w:r w:rsidR="0089726F">
                  <w:rPr>
                    <w:rFonts w:asciiTheme="minorHAnsi" w:eastAsiaTheme="minorEastAsia" w:hAnsiTheme="minorHAnsi"/>
                    <w:lang w:eastAsia="en-AU"/>
                  </w:rPr>
                  <w:tab/>
                </w:r>
                <w:r w:rsidR="0089726F" w:rsidRPr="00C210C7">
                  <w:rPr>
                    <w:rStyle w:val="Hyperlink"/>
                  </w:rPr>
                  <w:t>Jemalong Irrigation Limited (Jemalong), NSW Lachlan</w:t>
                </w:r>
                <w:r w:rsidR="0089726F">
                  <w:rPr>
                    <w:webHidden/>
                  </w:rPr>
                  <w:tab/>
                </w:r>
                <w:r w:rsidR="0089726F">
                  <w:rPr>
                    <w:webHidden/>
                  </w:rPr>
                  <w:fldChar w:fldCharType="begin"/>
                </w:r>
                <w:r w:rsidR="0089726F">
                  <w:rPr>
                    <w:webHidden/>
                  </w:rPr>
                  <w:instrText xml:space="preserve"> PAGEREF _Toc485303363 \h </w:instrText>
                </w:r>
                <w:r w:rsidR="0089726F">
                  <w:rPr>
                    <w:webHidden/>
                  </w:rPr>
                </w:r>
                <w:r w:rsidR="0089726F">
                  <w:rPr>
                    <w:webHidden/>
                  </w:rPr>
                  <w:fldChar w:fldCharType="separate"/>
                </w:r>
                <w:r w:rsidR="0089726F">
                  <w:rPr>
                    <w:webHidden/>
                  </w:rPr>
                  <w:t>122</w:t>
                </w:r>
                <w:r w:rsidR="0089726F">
                  <w:rPr>
                    <w:webHidden/>
                  </w:rPr>
                  <w:fldChar w:fldCharType="end"/>
                </w:r>
              </w:hyperlink>
            </w:p>
            <w:p w:rsidR="0089726F" w:rsidRDefault="00FF0E78" w:rsidP="0089726F">
              <w:pPr>
                <w:pStyle w:val="TOC3"/>
                <w:ind w:left="1751" w:hanging="900"/>
                <w:rPr>
                  <w:rFonts w:asciiTheme="minorHAnsi" w:eastAsiaTheme="minorEastAsia" w:hAnsiTheme="minorHAnsi"/>
                  <w:lang w:eastAsia="en-AU"/>
                </w:rPr>
              </w:pPr>
              <w:hyperlink w:anchor="_Toc485303364" w:history="1">
                <w:r w:rsidR="0089726F" w:rsidRPr="00C210C7">
                  <w:rPr>
                    <w:rStyle w:val="Hyperlink"/>
                  </w:rPr>
                  <w:t>3.3.14</w:t>
                </w:r>
                <w:r w:rsidR="0089726F">
                  <w:rPr>
                    <w:rFonts w:asciiTheme="minorHAnsi" w:eastAsiaTheme="minorEastAsia" w:hAnsiTheme="minorHAnsi"/>
                    <w:lang w:eastAsia="en-AU"/>
                  </w:rPr>
                  <w:tab/>
                </w:r>
                <w:r w:rsidR="0089726F" w:rsidRPr="00C210C7">
                  <w:rPr>
                    <w:rStyle w:val="Hyperlink"/>
                  </w:rPr>
                  <w:t>Narromine Irrigation Board of Management (Narromine),</w:t>
                </w:r>
                <w:r w:rsidR="0089726F">
                  <w:rPr>
                    <w:rStyle w:val="Hyperlink"/>
                  </w:rPr>
                  <w:br/>
                </w:r>
                <w:r w:rsidR="0089726F" w:rsidRPr="00C210C7">
                  <w:rPr>
                    <w:rStyle w:val="Hyperlink"/>
                  </w:rPr>
                  <w:t>NSW Macquarie</w:t>
                </w:r>
                <w:r w:rsidR="0089726F">
                  <w:rPr>
                    <w:webHidden/>
                  </w:rPr>
                  <w:tab/>
                </w:r>
                <w:r w:rsidR="0089726F">
                  <w:rPr>
                    <w:webHidden/>
                  </w:rPr>
                  <w:fldChar w:fldCharType="begin"/>
                </w:r>
                <w:r w:rsidR="0089726F">
                  <w:rPr>
                    <w:webHidden/>
                  </w:rPr>
                  <w:instrText xml:space="preserve"> PAGEREF _Toc485303364 \h </w:instrText>
                </w:r>
                <w:r w:rsidR="0089726F">
                  <w:rPr>
                    <w:webHidden/>
                  </w:rPr>
                </w:r>
                <w:r w:rsidR="0089726F">
                  <w:rPr>
                    <w:webHidden/>
                  </w:rPr>
                  <w:fldChar w:fldCharType="separate"/>
                </w:r>
                <w:r w:rsidR="0089726F">
                  <w:rPr>
                    <w:webHidden/>
                  </w:rPr>
                  <w:t>124</w:t>
                </w:r>
                <w:r w:rsidR="0089726F">
                  <w:rPr>
                    <w:webHidden/>
                  </w:rPr>
                  <w:fldChar w:fldCharType="end"/>
                </w:r>
              </w:hyperlink>
            </w:p>
            <w:p w:rsidR="0089726F" w:rsidRDefault="00FF0E78" w:rsidP="0089726F">
              <w:pPr>
                <w:pStyle w:val="TOC3"/>
                <w:ind w:left="1751" w:hanging="900"/>
                <w:rPr>
                  <w:rFonts w:asciiTheme="minorHAnsi" w:eastAsiaTheme="minorEastAsia" w:hAnsiTheme="minorHAnsi"/>
                  <w:lang w:eastAsia="en-AU"/>
                </w:rPr>
              </w:pPr>
              <w:hyperlink w:anchor="_Toc485303365" w:history="1">
                <w:r w:rsidR="0089726F" w:rsidRPr="00C210C7">
                  <w:rPr>
                    <w:rStyle w:val="Hyperlink"/>
                  </w:rPr>
                  <w:t>3.3.15</w:t>
                </w:r>
                <w:r w:rsidR="0089726F">
                  <w:rPr>
                    <w:rFonts w:asciiTheme="minorHAnsi" w:eastAsiaTheme="minorEastAsia" w:hAnsiTheme="minorHAnsi"/>
                    <w:lang w:eastAsia="en-AU"/>
                  </w:rPr>
                  <w:tab/>
                </w:r>
                <w:r w:rsidR="0089726F" w:rsidRPr="00C210C7">
                  <w:rPr>
                    <w:rStyle w:val="Hyperlink"/>
                  </w:rPr>
                  <w:t xml:space="preserve">Buddah Lake Irrigators’ Association (Buddah Lake), </w:t>
                </w:r>
                <w:r w:rsidR="0089726F">
                  <w:rPr>
                    <w:rStyle w:val="Hyperlink"/>
                  </w:rPr>
                  <w:br/>
                </w:r>
                <w:r w:rsidR="0089726F" w:rsidRPr="00C210C7">
                  <w:rPr>
                    <w:rStyle w:val="Hyperlink"/>
                  </w:rPr>
                  <w:t>NSW Macquarie</w:t>
                </w:r>
                <w:r w:rsidR="0089726F">
                  <w:rPr>
                    <w:webHidden/>
                  </w:rPr>
                  <w:tab/>
                </w:r>
                <w:r w:rsidR="0089726F">
                  <w:rPr>
                    <w:webHidden/>
                  </w:rPr>
                  <w:fldChar w:fldCharType="begin"/>
                </w:r>
                <w:r w:rsidR="0089726F">
                  <w:rPr>
                    <w:webHidden/>
                  </w:rPr>
                  <w:instrText xml:space="preserve"> PAGEREF _Toc485303365 \h </w:instrText>
                </w:r>
                <w:r w:rsidR="0089726F">
                  <w:rPr>
                    <w:webHidden/>
                  </w:rPr>
                </w:r>
                <w:r w:rsidR="0089726F">
                  <w:rPr>
                    <w:webHidden/>
                  </w:rPr>
                  <w:fldChar w:fldCharType="separate"/>
                </w:r>
                <w:r w:rsidR="0089726F">
                  <w:rPr>
                    <w:webHidden/>
                  </w:rPr>
                  <w:t>126</w:t>
                </w:r>
                <w:r w:rsidR="0089726F">
                  <w:rPr>
                    <w:webHidden/>
                  </w:rPr>
                  <w:fldChar w:fldCharType="end"/>
                </w:r>
              </w:hyperlink>
            </w:p>
            <w:p w:rsidR="0089726F" w:rsidRDefault="00FF0E78" w:rsidP="0089726F">
              <w:pPr>
                <w:pStyle w:val="TOC3"/>
                <w:ind w:left="1751" w:hanging="900"/>
                <w:rPr>
                  <w:rFonts w:asciiTheme="minorHAnsi" w:eastAsiaTheme="minorEastAsia" w:hAnsiTheme="minorHAnsi"/>
                  <w:lang w:eastAsia="en-AU"/>
                </w:rPr>
              </w:pPr>
              <w:hyperlink w:anchor="_Toc485303366" w:history="1">
                <w:r w:rsidR="0089726F" w:rsidRPr="00C210C7">
                  <w:rPr>
                    <w:rStyle w:val="Hyperlink"/>
                  </w:rPr>
                  <w:t>3.3.16</w:t>
                </w:r>
                <w:r w:rsidR="0089726F">
                  <w:rPr>
                    <w:rFonts w:asciiTheme="minorHAnsi" w:eastAsiaTheme="minorEastAsia" w:hAnsiTheme="minorHAnsi"/>
                    <w:lang w:eastAsia="en-AU"/>
                  </w:rPr>
                  <w:tab/>
                </w:r>
                <w:r w:rsidR="0089726F" w:rsidRPr="00C210C7">
                  <w:rPr>
                    <w:rStyle w:val="Hyperlink"/>
                  </w:rPr>
                  <w:t xml:space="preserve">Trangie-Nevertire Irrigation Scheme (Trangie-Nevertire), </w:t>
                </w:r>
                <w:r w:rsidR="0089726F">
                  <w:rPr>
                    <w:rStyle w:val="Hyperlink"/>
                  </w:rPr>
                  <w:br/>
                </w:r>
                <w:r w:rsidR="0089726F" w:rsidRPr="00C210C7">
                  <w:rPr>
                    <w:rStyle w:val="Hyperlink"/>
                  </w:rPr>
                  <w:t>NSW Macquarie</w:t>
                </w:r>
                <w:r w:rsidR="0089726F">
                  <w:rPr>
                    <w:webHidden/>
                  </w:rPr>
                  <w:tab/>
                </w:r>
                <w:r w:rsidR="0089726F">
                  <w:rPr>
                    <w:webHidden/>
                  </w:rPr>
                  <w:fldChar w:fldCharType="begin"/>
                </w:r>
                <w:r w:rsidR="0089726F">
                  <w:rPr>
                    <w:webHidden/>
                  </w:rPr>
                  <w:instrText xml:space="preserve"> PAGEREF _Toc485303366 \h </w:instrText>
                </w:r>
                <w:r w:rsidR="0089726F">
                  <w:rPr>
                    <w:webHidden/>
                  </w:rPr>
                </w:r>
                <w:r w:rsidR="0089726F">
                  <w:rPr>
                    <w:webHidden/>
                  </w:rPr>
                  <w:fldChar w:fldCharType="separate"/>
                </w:r>
                <w:r w:rsidR="0089726F">
                  <w:rPr>
                    <w:webHidden/>
                  </w:rPr>
                  <w:t>129</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67" w:history="1">
                <w:r w:rsidR="0089726F" w:rsidRPr="00C210C7">
                  <w:rPr>
                    <w:rStyle w:val="Hyperlink"/>
                  </w:rPr>
                  <w:t>3.3.17</w:t>
                </w:r>
                <w:r w:rsidR="0089726F">
                  <w:rPr>
                    <w:rFonts w:asciiTheme="minorHAnsi" w:eastAsiaTheme="minorEastAsia" w:hAnsiTheme="minorHAnsi"/>
                    <w:lang w:eastAsia="en-AU"/>
                  </w:rPr>
                  <w:tab/>
                </w:r>
                <w:r w:rsidR="0089726F" w:rsidRPr="00C210C7">
                  <w:rPr>
                    <w:rStyle w:val="Hyperlink"/>
                  </w:rPr>
                  <w:t>Tenandra Irrigation Scheme (Tenandra), NSW Macquarie</w:t>
                </w:r>
                <w:r w:rsidR="0089726F">
                  <w:rPr>
                    <w:webHidden/>
                  </w:rPr>
                  <w:tab/>
                </w:r>
                <w:r w:rsidR="0089726F">
                  <w:rPr>
                    <w:webHidden/>
                  </w:rPr>
                  <w:fldChar w:fldCharType="begin"/>
                </w:r>
                <w:r w:rsidR="0089726F">
                  <w:rPr>
                    <w:webHidden/>
                  </w:rPr>
                  <w:instrText xml:space="preserve"> PAGEREF _Toc485303367 \h </w:instrText>
                </w:r>
                <w:r w:rsidR="0089726F">
                  <w:rPr>
                    <w:webHidden/>
                  </w:rPr>
                </w:r>
                <w:r w:rsidR="0089726F">
                  <w:rPr>
                    <w:webHidden/>
                  </w:rPr>
                  <w:fldChar w:fldCharType="separate"/>
                </w:r>
                <w:r w:rsidR="0089726F">
                  <w:rPr>
                    <w:webHidden/>
                  </w:rPr>
                  <w:t>132</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68" w:history="1">
                <w:r w:rsidR="0089726F" w:rsidRPr="00C210C7">
                  <w:rPr>
                    <w:rStyle w:val="Hyperlink"/>
                  </w:rPr>
                  <w:t>3.3.18</w:t>
                </w:r>
                <w:r w:rsidR="0089726F">
                  <w:rPr>
                    <w:rFonts w:asciiTheme="minorHAnsi" w:eastAsiaTheme="minorEastAsia" w:hAnsiTheme="minorHAnsi"/>
                    <w:lang w:eastAsia="en-AU"/>
                  </w:rPr>
                  <w:tab/>
                </w:r>
                <w:r w:rsidR="0089726F" w:rsidRPr="00C210C7">
                  <w:rPr>
                    <w:rStyle w:val="Hyperlink"/>
                  </w:rPr>
                  <w:t>Marthaguy Irrigation Scheme (Marthaguy), NSW Macquarie</w:t>
                </w:r>
                <w:r w:rsidR="0089726F">
                  <w:rPr>
                    <w:webHidden/>
                  </w:rPr>
                  <w:tab/>
                </w:r>
                <w:r w:rsidR="0089726F">
                  <w:rPr>
                    <w:webHidden/>
                  </w:rPr>
                  <w:fldChar w:fldCharType="begin"/>
                </w:r>
                <w:r w:rsidR="0089726F">
                  <w:rPr>
                    <w:webHidden/>
                  </w:rPr>
                  <w:instrText xml:space="preserve"> PAGEREF _Toc485303368 \h </w:instrText>
                </w:r>
                <w:r w:rsidR="0089726F">
                  <w:rPr>
                    <w:webHidden/>
                  </w:rPr>
                </w:r>
                <w:r w:rsidR="0089726F">
                  <w:rPr>
                    <w:webHidden/>
                  </w:rPr>
                  <w:fldChar w:fldCharType="separate"/>
                </w:r>
                <w:r w:rsidR="0089726F">
                  <w:rPr>
                    <w:webHidden/>
                  </w:rPr>
                  <w:t>135</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69" w:history="1">
                <w:r w:rsidR="0089726F" w:rsidRPr="00C210C7">
                  <w:rPr>
                    <w:rStyle w:val="Hyperlink"/>
                  </w:rPr>
                  <w:t>3.3.19</w:t>
                </w:r>
                <w:r w:rsidR="0089726F">
                  <w:rPr>
                    <w:rFonts w:asciiTheme="minorHAnsi" w:eastAsiaTheme="minorEastAsia" w:hAnsiTheme="minorHAnsi"/>
                    <w:lang w:eastAsia="en-AU"/>
                  </w:rPr>
                  <w:tab/>
                </w:r>
                <w:r w:rsidR="0089726F" w:rsidRPr="00C210C7">
                  <w:rPr>
                    <w:rStyle w:val="Hyperlink"/>
                  </w:rPr>
                  <w:t>SunWater, Queensland</w:t>
                </w:r>
                <w:r w:rsidR="0089726F">
                  <w:rPr>
                    <w:webHidden/>
                  </w:rPr>
                  <w:tab/>
                </w:r>
                <w:r w:rsidR="0089726F">
                  <w:rPr>
                    <w:webHidden/>
                  </w:rPr>
                  <w:fldChar w:fldCharType="begin"/>
                </w:r>
                <w:r w:rsidR="0089726F">
                  <w:rPr>
                    <w:webHidden/>
                  </w:rPr>
                  <w:instrText xml:space="preserve"> PAGEREF _Toc485303369 \h </w:instrText>
                </w:r>
                <w:r w:rsidR="0089726F">
                  <w:rPr>
                    <w:webHidden/>
                  </w:rPr>
                </w:r>
                <w:r w:rsidR="0089726F">
                  <w:rPr>
                    <w:webHidden/>
                  </w:rPr>
                  <w:fldChar w:fldCharType="separate"/>
                </w:r>
                <w:r w:rsidR="0089726F">
                  <w:rPr>
                    <w:webHidden/>
                  </w:rPr>
                  <w:t>139</w:t>
                </w:r>
                <w:r w:rsidR="0089726F">
                  <w:rPr>
                    <w:webHidden/>
                  </w:rPr>
                  <w:fldChar w:fldCharType="end"/>
                </w:r>
              </w:hyperlink>
            </w:p>
            <w:p w:rsidR="0089726F" w:rsidRDefault="00FF0E78">
              <w:pPr>
                <w:pStyle w:val="TOC1"/>
                <w:rPr>
                  <w:rFonts w:asciiTheme="minorHAnsi" w:eastAsiaTheme="minorEastAsia" w:hAnsiTheme="minorHAnsi"/>
                  <w:lang w:val="en-AU" w:eastAsia="en-AU"/>
                </w:rPr>
              </w:pPr>
              <w:hyperlink w:anchor="_Toc485303370" w:history="1">
                <w:r w:rsidR="0089726F" w:rsidRPr="00C210C7">
                  <w:rPr>
                    <w:rStyle w:val="Hyperlink"/>
                  </w:rPr>
                  <w:t>4.</w:t>
                </w:r>
                <w:r w:rsidR="0089726F">
                  <w:rPr>
                    <w:rFonts w:asciiTheme="minorHAnsi" w:eastAsiaTheme="minorEastAsia" w:hAnsiTheme="minorHAnsi"/>
                    <w:lang w:val="en-AU" w:eastAsia="en-AU"/>
                  </w:rPr>
                  <w:tab/>
                </w:r>
                <w:r w:rsidR="0089726F" w:rsidRPr="00C210C7">
                  <w:rPr>
                    <w:rStyle w:val="Hyperlink"/>
                  </w:rPr>
                  <w:t>Additional assumptions</w:t>
                </w:r>
                <w:r w:rsidR="0089726F">
                  <w:rPr>
                    <w:webHidden/>
                  </w:rPr>
                  <w:tab/>
                </w:r>
                <w:r w:rsidR="0089726F">
                  <w:rPr>
                    <w:webHidden/>
                  </w:rPr>
                  <w:fldChar w:fldCharType="begin"/>
                </w:r>
                <w:r w:rsidR="0089726F">
                  <w:rPr>
                    <w:webHidden/>
                  </w:rPr>
                  <w:instrText xml:space="preserve"> PAGEREF _Toc485303370 \h </w:instrText>
                </w:r>
                <w:r w:rsidR="0089726F">
                  <w:rPr>
                    <w:webHidden/>
                  </w:rPr>
                </w:r>
                <w:r w:rsidR="0089726F">
                  <w:rPr>
                    <w:webHidden/>
                  </w:rPr>
                  <w:fldChar w:fldCharType="separate"/>
                </w:r>
                <w:r w:rsidR="0089726F">
                  <w:rPr>
                    <w:webHidden/>
                  </w:rPr>
                  <w:t>140</w:t>
                </w:r>
                <w:r w:rsidR="0089726F">
                  <w:rPr>
                    <w:webHidden/>
                  </w:rPr>
                  <w:fldChar w:fldCharType="end"/>
                </w:r>
              </w:hyperlink>
            </w:p>
            <w:p w:rsidR="0089726F" w:rsidRDefault="00FF0E78" w:rsidP="0089726F">
              <w:pPr>
                <w:pStyle w:val="TOC2"/>
                <w:ind w:left="880" w:hanging="455"/>
                <w:rPr>
                  <w:rFonts w:asciiTheme="minorHAnsi" w:eastAsiaTheme="minorEastAsia" w:hAnsiTheme="minorHAnsi"/>
                  <w:lang w:eastAsia="en-AU"/>
                </w:rPr>
              </w:pPr>
              <w:hyperlink w:anchor="_Toc485303371" w:history="1">
                <w:r w:rsidR="0089726F" w:rsidRPr="00C210C7">
                  <w:rPr>
                    <w:rStyle w:val="Hyperlink"/>
                  </w:rPr>
                  <w:t>4.1</w:t>
                </w:r>
                <w:r w:rsidR="0089726F">
                  <w:rPr>
                    <w:rFonts w:asciiTheme="minorHAnsi" w:eastAsiaTheme="minorEastAsia" w:hAnsiTheme="minorHAnsi"/>
                    <w:lang w:eastAsia="en-AU"/>
                  </w:rPr>
                  <w:tab/>
                </w:r>
                <w:r w:rsidR="0089726F" w:rsidRPr="00C210C7">
                  <w:rPr>
                    <w:rStyle w:val="Hyperlink"/>
                  </w:rPr>
                  <w:t xml:space="preserve">Methodology for Chart 5.1: Off-river IOs—Casual use premium and casual </w:t>
                </w:r>
                <w:r w:rsidR="0089726F">
                  <w:rPr>
                    <w:rStyle w:val="Hyperlink"/>
                  </w:rPr>
                  <w:br/>
                </w:r>
                <w:r w:rsidR="0089726F" w:rsidRPr="00C210C7">
                  <w:rPr>
                    <w:rStyle w:val="Hyperlink"/>
                  </w:rPr>
                  <w:t>use as a proportion of total volume delivered, 2015−16</w:t>
                </w:r>
                <w:r w:rsidR="0089726F">
                  <w:rPr>
                    <w:webHidden/>
                  </w:rPr>
                  <w:tab/>
                </w:r>
                <w:r w:rsidR="0089726F">
                  <w:rPr>
                    <w:webHidden/>
                  </w:rPr>
                  <w:fldChar w:fldCharType="begin"/>
                </w:r>
                <w:r w:rsidR="0089726F">
                  <w:rPr>
                    <w:webHidden/>
                  </w:rPr>
                  <w:instrText xml:space="preserve"> PAGEREF _Toc485303371 \h </w:instrText>
                </w:r>
                <w:r w:rsidR="0089726F">
                  <w:rPr>
                    <w:webHidden/>
                  </w:rPr>
                </w:r>
                <w:r w:rsidR="0089726F">
                  <w:rPr>
                    <w:webHidden/>
                  </w:rPr>
                  <w:fldChar w:fldCharType="separate"/>
                </w:r>
                <w:r w:rsidR="0089726F">
                  <w:rPr>
                    <w:webHidden/>
                  </w:rPr>
                  <w:t>140</w:t>
                </w:r>
                <w:r w:rsidR="0089726F">
                  <w:rPr>
                    <w:webHidden/>
                  </w:rPr>
                  <w:fldChar w:fldCharType="end"/>
                </w:r>
              </w:hyperlink>
            </w:p>
            <w:p w:rsidR="0089726F" w:rsidRDefault="00FF0E78" w:rsidP="0089726F">
              <w:pPr>
                <w:pStyle w:val="TOC2"/>
                <w:ind w:left="880" w:hanging="455"/>
                <w:rPr>
                  <w:rFonts w:asciiTheme="minorHAnsi" w:eastAsiaTheme="minorEastAsia" w:hAnsiTheme="minorHAnsi"/>
                  <w:lang w:eastAsia="en-AU"/>
                </w:rPr>
              </w:pPr>
              <w:hyperlink w:anchor="_Toc485303372" w:history="1">
                <w:r w:rsidR="0089726F" w:rsidRPr="00C210C7">
                  <w:rPr>
                    <w:rStyle w:val="Hyperlink"/>
                  </w:rPr>
                  <w:t>4.2</w:t>
                </w:r>
                <w:r w:rsidR="0089726F">
                  <w:rPr>
                    <w:rFonts w:asciiTheme="minorHAnsi" w:eastAsiaTheme="minorEastAsia" w:hAnsiTheme="minorHAnsi"/>
                    <w:lang w:eastAsia="en-AU"/>
                  </w:rPr>
                  <w:tab/>
                </w:r>
                <w:r w:rsidR="0089726F" w:rsidRPr="00C210C7">
                  <w:rPr>
                    <w:rStyle w:val="Hyperlink"/>
                  </w:rPr>
                  <w:t xml:space="preserve">Methodology for Chart 6.3: NSW operators—Proportion of transformations </w:t>
                </w:r>
                <w:r w:rsidR="0089726F">
                  <w:rPr>
                    <w:rStyle w:val="Hyperlink"/>
                  </w:rPr>
                  <w:br/>
                </w:r>
                <w:r w:rsidR="0089726F" w:rsidRPr="00C210C7">
                  <w:rPr>
                    <w:rStyle w:val="Hyperlink"/>
                  </w:rPr>
                  <w:t>traded directly to Environmental Water Holders</w:t>
                </w:r>
                <w:r w:rsidR="0089726F">
                  <w:rPr>
                    <w:webHidden/>
                  </w:rPr>
                  <w:tab/>
                </w:r>
                <w:r w:rsidR="0089726F">
                  <w:rPr>
                    <w:webHidden/>
                  </w:rPr>
                  <w:fldChar w:fldCharType="begin"/>
                </w:r>
                <w:r w:rsidR="0089726F">
                  <w:rPr>
                    <w:webHidden/>
                  </w:rPr>
                  <w:instrText xml:space="preserve"> PAGEREF _Toc485303372 \h </w:instrText>
                </w:r>
                <w:r w:rsidR="0089726F">
                  <w:rPr>
                    <w:webHidden/>
                  </w:rPr>
                </w:r>
                <w:r w:rsidR="0089726F">
                  <w:rPr>
                    <w:webHidden/>
                  </w:rPr>
                  <w:fldChar w:fldCharType="separate"/>
                </w:r>
                <w:r w:rsidR="0089726F">
                  <w:rPr>
                    <w:webHidden/>
                  </w:rPr>
                  <w:t>145</w:t>
                </w:r>
                <w:r w:rsidR="0089726F">
                  <w:rPr>
                    <w:webHidden/>
                  </w:rPr>
                  <w:fldChar w:fldCharType="end"/>
                </w:r>
              </w:hyperlink>
            </w:p>
            <w:p w:rsidR="0089726F" w:rsidRDefault="00FF0E78" w:rsidP="0089726F">
              <w:pPr>
                <w:pStyle w:val="TOC2"/>
                <w:ind w:left="851" w:hanging="426"/>
                <w:rPr>
                  <w:rFonts w:asciiTheme="minorHAnsi" w:eastAsiaTheme="minorEastAsia" w:hAnsiTheme="minorHAnsi"/>
                  <w:lang w:eastAsia="en-AU"/>
                </w:rPr>
              </w:pPr>
              <w:hyperlink w:anchor="_Toc485303373" w:history="1">
                <w:r w:rsidR="0089726F" w:rsidRPr="00C210C7">
                  <w:rPr>
                    <w:rStyle w:val="Hyperlink"/>
                  </w:rPr>
                  <w:t>4.3</w:t>
                </w:r>
                <w:r w:rsidR="0089726F">
                  <w:rPr>
                    <w:rFonts w:asciiTheme="minorHAnsi" w:eastAsiaTheme="minorEastAsia" w:hAnsiTheme="minorHAnsi"/>
                    <w:lang w:eastAsia="en-AU"/>
                  </w:rPr>
                  <w:tab/>
                </w:r>
                <w:r w:rsidR="0089726F" w:rsidRPr="00C210C7">
                  <w:rPr>
                    <w:rStyle w:val="Hyperlink"/>
                  </w:rPr>
                  <w:t xml:space="preserve">Methodology for Table 6.7: Basin States—water trade application charges, </w:t>
                </w:r>
                <w:r w:rsidR="0089726F">
                  <w:rPr>
                    <w:rStyle w:val="Hyperlink"/>
                  </w:rPr>
                  <w:br/>
                </w:r>
                <w:r w:rsidR="0089726F" w:rsidRPr="00C210C7">
                  <w:rPr>
                    <w:rStyle w:val="Hyperlink"/>
                  </w:rPr>
                  <w:t>2015-16</w:t>
                </w:r>
                <w:r w:rsidR="0089726F">
                  <w:rPr>
                    <w:webHidden/>
                  </w:rPr>
                  <w:tab/>
                </w:r>
                <w:r w:rsidR="0089726F">
                  <w:rPr>
                    <w:webHidden/>
                  </w:rPr>
                  <w:fldChar w:fldCharType="begin"/>
                </w:r>
                <w:r w:rsidR="0089726F">
                  <w:rPr>
                    <w:webHidden/>
                  </w:rPr>
                  <w:instrText xml:space="preserve"> PAGEREF _Toc485303373 \h </w:instrText>
                </w:r>
                <w:r w:rsidR="0089726F">
                  <w:rPr>
                    <w:webHidden/>
                  </w:rPr>
                </w:r>
                <w:r w:rsidR="0089726F">
                  <w:rPr>
                    <w:webHidden/>
                  </w:rPr>
                  <w:fldChar w:fldCharType="separate"/>
                </w:r>
                <w:r w:rsidR="0089726F">
                  <w:rPr>
                    <w:webHidden/>
                  </w:rPr>
                  <w:t>147</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74" w:history="1">
                <w:r w:rsidR="0089726F" w:rsidRPr="00C210C7">
                  <w:rPr>
                    <w:rStyle w:val="Hyperlink"/>
                  </w:rPr>
                  <w:t>4.3.1</w:t>
                </w:r>
                <w:r w:rsidR="0089726F">
                  <w:rPr>
                    <w:rFonts w:asciiTheme="minorHAnsi" w:eastAsiaTheme="minorEastAsia" w:hAnsiTheme="minorHAnsi"/>
                    <w:lang w:eastAsia="en-AU"/>
                  </w:rPr>
                  <w:tab/>
                </w:r>
                <w:r w:rsidR="0089726F" w:rsidRPr="00C210C7">
                  <w:rPr>
                    <w:rStyle w:val="Hyperlink"/>
                  </w:rPr>
                  <w:t>Queensland</w:t>
                </w:r>
                <w:r w:rsidR="0089726F">
                  <w:rPr>
                    <w:webHidden/>
                  </w:rPr>
                  <w:tab/>
                </w:r>
                <w:r w:rsidR="0089726F">
                  <w:rPr>
                    <w:webHidden/>
                  </w:rPr>
                  <w:fldChar w:fldCharType="begin"/>
                </w:r>
                <w:r w:rsidR="0089726F">
                  <w:rPr>
                    <w:webHidden/>
                  </w:rPr>
                  <w:instrText xml:space="preserve"> PAGEREF _Toc485303374 \h </w:instrText>
                </w:r>
                <w:r w:rsidR="0089726F">
                  <w:rPr>
                    <w:webHidden/>
                  </w:rPr>
                </w:r>
                <w:r w:rsidR="0089726F">
                  <w:rPr>
                    <w:webHidden/>
                  </w:rPr>
                  <w:fldChar w:fldCharType="separate"/>
                </w:r>
                <w:r w:rsidR="0089726F">
                  <w:rPr>
                    <w:webHidden/>
                  </w:rPr>
                  <w:t>147</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75" w:history="1">
                <w:r w:rsidR="0089726F" w:rsidRPr="00C210C7">
                  <w:rPr>
                    <w:rStyle w:val="Hyperlink"/>
                  </w:rPr>
                  <w:t>4.3.2</w:t>
                </w:r>
                <w:r w:rsidR="0089726F">
                  <w:rPr>
                    <w:rFonts w:asciiTheme="minorHAnsi" w:eastAsiaTheme="minorEastAsia" w:hAnsiTheme="minorHAnsi"/>
                    <w:lang w:eastAsia="en-AU"/>
                  </w:rPr>
                  <w:tab/>
                </w:r>
                <w:r w:rsidR="0089726F" w:rsidRPr="00C210C7">
                  <w:rPr>
                    <w:rStyle w:val="Hyperlink"/>
                  </w:rPr>
                  <w:t>New South Wales</w:t>
                </w:r>
                <w:r w:rsidR="0089726F">
                  <w:rPr>
                    <w:webHidden/>
                  </w:rPr>
                  <w:tab/>
                </w:r>
                <w:r w:rsidR="0089726F">
                  <w:rPr>
                    <w:webHidden/>
                  </w:rPr>
                  <w:fldChar w:fldCharType="begin"/>
                </w:r>
                <w:r w:rsidR="0089726F">
                  <w:rPr>
                    <w:webHidden/>
                  </w:rPr>
                  <w:instrText xml:space="preserve"> PAGEREF _Toc485303375 \h </w:instrText>
                </w:r>
                <w:r w:rsidR="0089726F">
                  <w:rPr>
                    <w:webHidden/>
                  </w:rPr>
                </w:r>
                <w:r w:rsidR="0089726F">
                  <w:rPr>
                    <w:webHidden/>
                  </w:rPr>
                  <w:fldChar w:fldCharType="separate"/>
                </w:r>
                <w:r w:rsidR="0089726F">
                  <w:rPr>
                    <w:webHidden/>
                  </w:rPr>
                  <w:t>148</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76" w:history="1">
                <w:r w:rsidR="0089726F" w:rsidRPr="00C210C7">
                  <w:rPr>
                    <w:rStyle w:val="Hyperlink"/>
                  </w:rPr>
                  <w:t>4.3.3</w:t>
                </w:r>
                <w:r w:rsidR="0089726F">
                  <w:rPr>
                    <w:rFonts w:asciiTheme="minorHAnsi" w:eastAsiaTheme="minorEastAsia" w:hAnsiTheme="minorHAnsi"/>
                    <w:lang w:eastAsia="en-AU"/>
                  </w:rPr>
                  <w:tab/>
                </w:r>
                <w:r w:rsidR="0089726F" w:rsidRPr="00C210C7">
                  <w:rPr>
                    <w:rStyle w:val="Hyperlink"/>
                  </w:rPr>
                  <w:t>Australian Capital Territory</w:t>
                </w:r>
                <w:r w:rsidR="0089726F">
                  <w:rPr>
                    <w:webHidden/>
                  </w:rPr>
                  <w:tab/>
                </w:r>
                <w:r w:rsidR="0089726F">
                  <w:rPr>
                    <w:webHidden/>
                  </w:rPr>
                  <w:fldChar w:fldCharType="begin"/>
                </w:r>
                <w:r w:rsidR="0089726F">
                  <w:rPr>
                    <w:webHidden/>
                  </w:rPr>
                  <w:instrText xml:space="preserve"> PAGEREF _Toc485303376 \h </w:instrText>
                </w:r>
                <w:r w:rsidR="0089726F">
                  <w:rPr>
                    <w:webHidden/>
                  </w:rPr>
                </w:r>
                <w:r w:rsidR="0089726F">
                  <w:rPr>
                    <w:webHidden/>
                  </w:rPr>
                  <w:fldChar w:fldCharType="separate"/>
                </w:r>
                <w:r w:rsidR="0089726F">
                  <w:rPr>
                    <w:webHidden/>
                  </w:rPr>
                  <w:t>148</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77" w:history="1">
                <w:r w:rsidR="0089726F" w:rsidRPr="00C210C7">
                  <w:rPr>
                    <w:rStyle w:val="Hyperlink"/>
                  </w:rPr>
                  <w:t>4.3.4</w:t>
                </w:r>
                <w:r w:rsidR="0089726F">
                  <w:rPr>
                    <w:rFonts w:asciiTheme="minorHAnsi" w:eastAsiaTheme="minorEastAsia" w:hAnsiTheme="minorHAnsi"/>
                    <w:lang w:eastAsia="en-AU"/>
                  </w:rPr>
                  <w:tab/>
                </w:r>
                <w:r w:rsidR="0089726F" w:rsidRPr="00C210C7">
                  <w:rPr>
                    <w:rStyle w:val="Hyperlink"/>
                  </w:rPr>
                  <w:t>Victoria</w:t>
                </w:r>
                <w:r w:rsidR="0089726F">
                  <w:rPr>
                    <w:webHidden/>
                  </w:rPr>
                  <w:tab/>
                </w:r>
                <w:r w:rsidR="0089726F">
                  <w:rPr>
                    <w:webHidden/>
                  </w:rPr>
                  <w:fldChar w:fldCharType="begin"/>
                </w:r>
                <w:r w:rsidR="0089726F">
                  <w:rPr>
                    <w:webHidden/>
                  </w:rPr>
                  <w:instrText xml:space="preserve"> PAGEREF _Toc485303377 \h </w:instrText>
                </w:r>
                <w:r w:rsidR="0089726F">
                  <w:rPr>
                    <w:webHidden/>
                  </w:rPr>
                </w:r>
                <w:r w:rsidR="0089726F">
                  <w:rPr>
                    <w:webHidden/>
                  </w:rPr>
                  <w:fldChar w:fldCharType="separate"/>
                </w:r>
                <w:r w:rsidR="0089726F">
                  <w:rPr>
                    <w:webHidden/>
                  </w:rPr>
                  <w:t>149</w:t>
                </w:r>
                <w:r w:rsidR="0089726F">
                  <w:rPr>
                    <w:webHidden/>
                  </w:rPr>
                  <w:fldChar w:fldCharType="end"/>
                </w:r>
              </w:hyperlink>
            </w:p>
            <w:p w:rsidR="0089726F" w:rsidRDefault="00FF0E78">
              <w:pPr>
                <w:pStyle w:val="TOC3"/>
                <w:rPr>
                  <w:rFonts w:asciiTheme="minorHAnsi" w:eastAsiaTheme="minorEastAsia" w:hAnsiTheme="minorHAnsi"/>
                  <w:lang w:eastAsia="en-AU"/>
                </w:rPr>
              </w:pPr>
              <w:hyperlink w:anchor="_Toc485303378" w:history="1">
                <w:r w:rsidR="0089726F" w:rsidRPr="00C210C7">
                  <w:rPr>
                    <w:rStyle w:val="Hyperlink"/>
                  </w:rPr>
                  <w:t>4.3.5</w:t>
                </w:r>
                <w:r w:rsidR="0089726F">
                  <w:rPr>
                    <w:rFonts w:asciiTheme="minorHAnsi" w:eastAsiaTheme="minorEastAsia" w:hAnsiTheme="minorHAnsi"/>
                    <w:lang w:eastAsia="en-AU"/>
                  </w:rPr>
                  <w:tab/>
                </w:r>
                <w:r w:rsidR="0089726F" w:rsidRPr="00C210C7">
                  <w:rPr>
                    <w:rStyle w:val="Hyperlink"/>
                  </w:rPr>
                  <w:t>South Australia</w:t>
                </w:r>
                <w:r w:rsidR="0089726F">
                  <w:rPr>
                    <w:webHidden/>
                  </w:rPr>
                  <w:tab/>
                </w:r>
                <w:r w:rsidR="0089726F">
                  <w:rPr>
                    <w:webHidden/>
                  </w:rPr>
                  <w:fldChar w:fldCharType="begin"/>
                </w:r>
                <w:r w:rsidR="0089726F">
                  <w:rPr>
                    <w:webHidden/>
                  </w:rPr>
                  <w:instrText xml:space="preserve"> PAGEREF _Toc485303378 \h </w:instrText>
                </w:r>
                <w:r w:rsidR="0089726F">
                  <w:rPr>
                    <w:webHidden/>
                  </w:rPr>
                </w:r>
                <w:r w:rsidR="0089726F">
                  <w:rPr>
                    <w:webHidden/>
                  </w:rPr>
                  <w:fldChar w:fldCharType="separate"/>
                </w:r>
                <w:r w:rsidR="0089726F">
                  <w:rPr>
                    <w:webHidden/>
                  </w:rPr>
                  <w:t>149</w:t>
                </w:r>
                <w:r w:rsidR="0089726F">
                  <w:rPr>
                    <w:webHidden/>
                  </w:rPr>
                  <w:fldChar w:fldCharType="end"/>
                </w:r>
              </w:hyperlink>
            </w:p>
            <w:p w:rsidR="009F2BE5" w:rsidRPr="00404A81" w:rsidRDefault="009F2BE5" w:rsidP="00261D00">
              <w:r w:rsidRPr="00404A81">
                <w:fldChar w:fldCharType="end"/>
              </w:r>
            </w:p>
          </w:sdtContent>
        </w:sdt>
        <w:p w:rsidR="009F2BE5" w:rsidRPr="00404A81" w:rsidRDefault="009F2BE5">
          <w:r w:rsidRPr="00404A81">
            <w:br w:type="page"/>
          </w:r>
        </w:p>
        <w:p w:rsidR="00DC36B0" w:rsidRPr="00F90601" w:rsidRDefault="00FF0E78" w:rsidP="00DC36B0">
          <w:pPr>
            <w:pStyle w:val="Copyrighttext"/>
          </w:pPr>
        </w:p>
      </w:sdtContent>
    </w:sdt>
    <w:p w:rsidR="00F90601" w:rsidRDefault="00DC36B0" w:rsidP="00DC36B0">
      <w:pPr>
        <w:pStyle w:val="Copyrighttext"/>
      </w:pPr>
      <w:r w:rsidRPr="00F90601">
        <w:t xml:space="preserve">ISBN </w:t>
      </w:r>
      <w:r w:rsidR="00F90601" w:rsidRPr="00F90601">
        <w:t>978 1 922145 78 9</w:t>
      </w:r>
    </w:p>
    <w:p w:rsidR="00DC36B0" w:rsidRDefault="00DC36B0" w:rsidP="00DC36B0">
      <w:pPr>
        <w:pStyle w:val="Copyrighttext"/>
      </w:pPr>
      <w:r>
        <w:t xml:space="preserve">Australian Competition and Consumer Commission </w:t>
      </w:r>
      <w:r>
        <w:br/>
        <w:t xml:space="preserve">23 Marcus Clarke Street, Canberra, Australian Capital Territory, 2601 </w:t>
      </w:r>
    </w:p>
    <w:p w:rsidR="00DC36B0" w:rsidRDefault="001B1230" w:rsidP="00DC36B0">
      <w:pPr>
        <w:pStyle w:val="Copyrighttext"/>
      </w:pPr>
      <w:r>
        <w:t>© Commonwealth of Australia 2017</w:t>
      </w:r>
    </w:p>
    <w:p w:rsidR="00DC36B0" w:rsidRDefault="00DC36B0" w:rsidP="00DC36B0">
      <w:pPr>
        <w:pStyle w:val="Copyrighttext"/>
      </w:pPr>
      <w:r>
        <w:t xml:space="preserve">This work is copyright. In addition to any use permitted under the </w:t>
      </w:r>
      <w:r w:rsidRPr="00E05CE0">
        <w:rPr>
          <w:rStyle w:val="Emphasis"/>
        </w:rPr>
        <w:t>Copyright Act 1968</w:t>
      </w:r>
      <w:r>
        <w:t>, all material contained within this work is provided under a Creative Commons Attribution 3.0 Australia licence, with the exception of:</w:t>
      </w:r>
    </w:p>
    <w:p w:rsidR="00DC36B0" w:rsidRDefault="00DC36B0" w:rsidP="003C28BE">
      <w:pPr>
        <w:pStyle w:val="Copyrighttext"/>
        <w:numPr>
          <w:ilvl w:val="0"/>
          <w:numId w:val="26"/>
        </w:numPr>
      </w:pPr>
      <w:r>
        <w:t>the Commonwealth Coat of Arms</w:t>
      </w:r>
    </w:p>
    <w:p w:rsidR="00DC36B0" w:rsidRDefault="00DC36B0" w:rsidP="003C28BE">
      <w:pPr>
        <w:pStyle w:val="Copyrighttext"/>
        <w:numPr>
          <w:ilvl w:val="0"/>
          <w:numId w:val="27"/>
        </w:numPr>
      </w:pPr>
      <w:r>
        <w:t>the ACCC and AER logos</w:t>
      </w:r>
    </w:p>
    <w:p w:rsidR="00DC36B0" w:rsidRDefault="00DC36B0" w:rsidP="003C28BE">
      <w:pPr>
        <w:pStyle w:val="Copyrighttext"/>
        <w:numPr>
          <w:ilvl w:val="0"/>
          <w:numId w:val="28"/>
        </w:numPr>
      </w:pPr>
      <w:r>
        <w:t>any illustration, diagram, photograph or graphic over which the Australian Competition and Consumer Commission does not hold copyright, but which may be part of or contained within this publication.</w:t>
      </w:r>
    </w:p>
    <w:p w:rsidR="00DC36B0" w:rsidRDefault="00DC36B0" w:rsidP="00DC36B0">
      <w:pPr>
        <w:pStyle w:val="Copyrighttext"/>
      </w:pPr>
      <w:r>
        <w:t xml:space="preserve">The details of the relevant licence conditions are available on the Creative Commons website, as is the full legal code for the CC BY 3.0 AU licence. </w:t>
      </w:r>
    </w:p>
    <w:p w:rsidR="00DC36B0" w:rsidRDefault="00DC36B0" w:rsidP="00DC36B0">
      <w:pPr>
        <w:pStyle w:val="Copyrighttext"/>
      </w:pPr>
      <w:r>
        <w:t>Requests and inquiries concerning reproduction and rights should be addressed to the Director, Corporate Communications, ACCC, GPO Box 3131, Canberra ACT 2601, or publishing.unit@accc.gov.au.</w:t>
      </w:r>
    </w:p>
    <w:p w:rsidR="00DC36B0" w:rsidRPr="00A311CE" w:rsidRDefault="00DC36B0" w:rsidP="00DC36B0">
      <w:pPr>
        <w:pStyle w:val="Copyrighttext"/>
        <w:rPr>
          <w:rStyle w:val="Strong"/>
        </w:rPr>
      </w:pPr>
      <w:r w:rsidRPr="00A311CE">
        <w:rPr>
          <w:rStyle w:val="Strong"/>
        </w:rPr>
        <w:t xml:space="preserve">Important notice </w:t>
      </w:r>
    </w:p>
    <w:p w:rsidR="00DC36B0" w:rsidRDefault="00DC36B0" w:rsidP="00DC36B0">
      <w:pPr>
        <w:pStyle w:val="Copyrighttext"/>
      </w:pPr>
      <w:r>
        <w:t xml:space="preserve">The information in this publication is for general guidance only. It does not constitute legal or other professional advice, and should not be relied on as a statement of the law in any jurisdiction. Because it is intended only as a general guide, it may contain generalisations. You should obtain professional advice if you have any specific concern. </w:t>
      </w:r>
    </w:p>
    <w:p w:rsidR="00DC36B0" w:rsidRDefault="00DC36B0" w:rsidP="00DC36B0">
      <w:pPr>
        <w:pStyle w:val="Copyrighttext"/>
      </w:pPr>
      <w:r>
        <w:t xml:space="preserve">The ACCC has made every reasonable effort to provide current and accurate information, but it does not make any guarantees regarding the accuracy, currency or completeness of that information. </w:t>
      </w:r>
    </w:p>
    <w:p w:rsidR="00DC36B0" w:rsidRPr="00DC36B0" w:rsidRDefault="00DC36B0" w:rsidP="00DC36B0">
      <w:pPr>
        <w:pStyle w:val="Copyrighttext"/>
      </w:pPr>
      <w:r>
        <w:t xml:space="preserve">Parties who wish to republish or otherwise use the information in this publication must check this information for currency and accuracy prior to </w:t>
      </w:r>
      <w:r w:rsidRPr="00DC36B0">
        <w:t xml:space="preserve">publication. This should be done prior to each publication edition, as ACCC guidance and relevant transitional legislation frequently change. Any queries parties have should be addressed to the Director, Corporate Communications, ACCC, GPO Box 3131, Canberra ACT 2601, or </w:t>
      </w:r>
      <w:hyperlink r:id="rId11" w:history="1">
        <w:r w:rsidRPr="00DC36B0">
          <w:rPr>
            <w:rStyle w:val="Hyperlink"/>
            <w:sz w:val="16"/>
          </w:rPr>
          <w:t>publishing.unit@accc.gov.au</w:t>
        </w:r>
      </w:hyperlink>
      <w:r w:rsidRPr="00DC36B0">
        <w:t>.</w:t>
      </w:r>
    </w:p>
    <w:p w:rsidR="00DC36B0" w:rsidRPr="00DC36B0" w:rsidRDefault="00DC36B0" w:rsidP="00DC36B0">
      <w:pPr>
        <w:pStyle w:val="Copyrighttext"/>
      </w:pPr>
      <w:r w:rsidRPr="00DC36B0">
        <w:t xml:space="preserve">ACCC </w:t>
      </w:r>
      <w:r w:rsidR="00F90601">
        <w:t>1144</w:t>
      </w:r>
    </w:p>
    <w:p w:rsidR="00DC36B0" w:rsidRPr="00A54873" w:rsidRDefault="00FF0E78" w:rsidP="00DC36B0">
      <w:pPr>
        <w:pStyle w:val="Copyrighttext"/>
        <w:rPr>
          <w:rStyle w:val="Hyperlink"/>
        </w:rPr>
      </w:pPr>
      <w:hyperlink r:id="rId12" w:history="1">
        <w:r w:rsidR="00DC36B0" w:rsidRPr="00DC36B0">
          <w:rPr>
            <w:rStyle w:val="Hyperlink"/>
            <w:sz w:val="16"/>
          </w:rPr>
          <w:t>www.accc.gov.au</w:t>
        </w:r>
      </w:hyperlink>
    </w:p>
    <w:p w:rsidR="00DC36B0" w:rsidRDefault="00DC36B0">
      <w:pPr>
        <w:rPr>
          <w:rStyle w:val="Hyperlink"/>
          <w:szCs w:val="16"/>
        </w:rPr>
      </w:pPr>
      <w:r>
        <w:rPr>
          <w:rStyle w:val="Hyperlink"/>
        </w:rPr>
        <w:br w:type="page"/>
      </w:r>
    </w:p>
    <w:p w:rsidR="00DC36B0" w:rsidRPr="00646225" w:rsidRDefault="00DC36B0" w:rsidP="00F90601">
      <w:pPr>
        <w:pStyle w:val="Heading1"/>
        <w:spacing w:after="240"/>
      </w:pPr>
      <w:bookmarkStart w:id="2" w:name="_Toc485303322"/>
      <w:r w:rsidRPr="00646225">
        <w:lastRenderedPageBreak/>
        <w:t>List of abbreviations</w:t>
      </w:r>
      <w:bookmarkEnd w:id="2"/>
    </w:p>
    <w:tbl>
      <w:tblPr>
        <w:tblStyle w:val="LightShadi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526"/>
        <w:gridCol w:w="7716"/>
      </w:tblGrid>
      <w:tr w:rsidR="00F90601" w:rsidRPr="009C738F" w:rsidTr="00F90601">
        <w:tc>
          <w:tcPr>
            <w:tcW w:w="1526" w:type="dxa"/>
          </w:tcPr>
          <w:p w:rsidR="00F90601" w:rsidRPr="00F90601" w:rsidRDefault="00F90601" w:rsidP="00F90601">
            <w:pPr>
              <w:rPr>
                <w:sz w:val="22"/>
                <w:lang w:val="en-US"/>
              </w:rPr>
            </w:pPr>
            <w:r w:rsidRPr="00F90601">
              <w:rPr>
                <w:sz w:val="22"/>
                <w:lang w:val="en-US"/>
              </w:rPr>
              <w:t>ABARES</w:t>
            </w:r>
          </w:p>
        </w:tc>
        <w:tc>
          <w:tcPr>
            <w:tcW w:w="7716" w:type="dxa"/>
          </w:tcPr>
          <w:p w:rsidR="00F90601" w:rsidRPr="00F90601" w:rsidRDefault="00F90601" w:rsidP="00F90601">
            <w:pPr>
              <w:rPr>
                <w:sz w:val="22"/>
                <w:lang w:val="en-US"/>
              </w:rPr>
            </w:pPr>
            <w:r w:rsidRPr="00F90601">
              <w:rPr>
                <w:sz w:val="22"/>
                <w:lang w:val="en-US"/>
              </w:rPr>
              <w:t>Australian Bureau of Agricultural and Resource Economics and Sciences</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ACCC</w:t>
            </w:r>
          </w:p>
        </w:tc>
        <w:tc>
          <w:tcPr>
            <w:tcW w:w="7716" w:type="dxa"/>
          </w:tcPr>
          <w:p w:rsidR="00F90601" w:rsidRPr="00F90601" w:rsidRDefault="00F90601" w:rsidP="00F90601">
            <w:pPr>
              <w:rPr>
                <w:sz w:val="22"/>
                <w:lang w:val="en-US"/>
              </w:rPr>
            </w:pPr>
            <w:r w:rsidRPr="00F90601">
              <w:rPr>
                <w:sz w:val="22"/>
                <w:lang w:val="en-US"/>
              </w:rPr>
              <w:t>Australian Competition and Consumer Commission</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BPWTR</w:t>
            </w:r>
          </w:p>
        </w:tc>
        <w:tc>
          <w:tcPr>
            <w:tcW w:w="7716" w:type="dxa"/>
          </w:tcPr>
          <w:p w:rsidR="00F90601" w:rsidRPr="00F90601" w:rsidRDefault="00F90601" w:rsidP="00F90601">
            <w:pPr>
              <w:rPr>
                <w:sz w:val="22"/>
                <w:lang w:val="en-US"/>
              </w:rPr>
            </w:pPr>
            <w:r w:rsidRPr="00F90601">
              <w:rPr>
                <w:sz w:val="22"/>
                <w:lang w:val="en-US"/>
              </w:rPr>
              <w:t>Basin Plan Water Trading Rules</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BRC</w:t>
            </w:r>
          </w:p>
        </w:tc>
        <w:tc>
          <w:tcPr>
            <w:tcW w:w="7716" w:type="dxa"/>
          </w:tcPr>
          <w:p w:rsidR="00F90601" w:rsidRPr="00F90601" w:rsidRDefault="00F90601" w:rsidP="00F90601">
            <w:pPr>
              <w:rPr>
                <w:sz w:val="22"/>
                <w:lang w:val="en-US"/>
              </w:rPr>
            </w:pPr>
            <w:r w:rsidRPr="00F90601">
              <w:rPr>
                <w:sz w:val="22"/>
                <w:lang w:val="en-US"/>
              </w:rPr>
              <w:t>Dumaresq-Barwon Border Rivers Commission</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CEWH</w:t>
            </w:r>
          </w:p>
        </w:tc>
        <w:tc>
          <w:tcPr>
            <w:tcW w:w="7716" w:type="dxa"/>
          </w:tcPr>
          <w:p w:rsidR="00F90601" w:rsidRPr="00F90601" w:rsidRDefault="00F90601" w:rsidP="00F90601">
            <w:pPr>
              <w:rPr>
                <w:sz w:val="22"/>
                <w:lang w:val="en-US"/>
              </w:rPr>
            </w:pPr>
            <w:r w:rsidRPr="00F90601">
              <w:rPr>
                <w:sz w:val="22"/>
                <w:lang w:val="en-US"/>
              </w:rPr>
              <w:t>Commonwealth Environmental Water Holder</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CCA</w:t>
            </w:r>
          </w:p>
        </w:tc>
        <w:tc>
          <w:tcPr>
            <w:tcW w:w="7716" w:type="dxa"/>
          </w:tcPr>
          <w:p w:rsidR="00F90601" w:rsidRPr="00F90601" w:rsidRDefault="00F90601" w:rsidP="00F90601">
            <w:pPr>
              <w:rPr>
                <w:sz w:val="22"/>
                <w:lang w:val="en-US"/>
              </w:rPr>
            </w:pPr>
            <w:r w:rsidRPr="00F90601">
              <w:rPr>
                <w:rStyle w:val="Emphasis"/>
                <w:sz w:val="22"/>
                <w:lang w:val="en-US"/>
              </w:rPr>
              <w:t>Competition and Consumer Act 2010</w:t>
            </w:r>
            <w:r w:rsidRPr="00F90601">
              <w:rPr>
                <w:sz w:val="22"/>
                <w:lang w:val="en-US"/>
              </w:rPr>
              <w:t xml:space="preserve"> (Cth)</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CIT</w:t>
            </w:r>
          </w:p>
        </w:tc>
        <w:tc>
          <w:tcPr>
            <w:tcW w:w="7716" w:type="dxa"/>
          </w:tcPr>
          <w:p w:rsidR="00F90601" w:rsidRPr="00F90601" w:rsidRDefault="00F90601" w:rsidP="00F90601">
            <w:pPr>
              <w:rPr>
                <w:sz w:val="22"/>
                <w:lang w:val="en-US"/>
              </w:rPr>
            </w:pPr>
            <w:r w:rsidRPr="00F90601">
              <w:rPr>
                <w:sz w:val="22"/>
                <w:lang w:val="en-US"/>
              </w:rPr>
              <w:t>Central Irrigation Trust</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CPI</w:t>
            </w:r>
          </w:p>
        </w:tc>
        <w:tc>
          <w:tcPr>
            <w:tcW w:w="7716" w:type="dxa"/>
          </w:tcPr>
          <w:p w:rsidR="00F90601" w:rsidRPr="00F90601" w:rsidRDefault="00F90601" w:rsidP="00F90601">
            <w:pPr>
              <w:rPr>
                <w:sz w:val="22"/>
                <w:lang w:val="en-US"/>
              </w:rPr>
            </w:pPr>
            <w:r w:rsidRPr="00F90601">
              <w:rPr>
                <w:sz w:val="22"/>
                <w:lang w:val="en-US"/>
              </w:rPr>
              <w:t>Consumer Price Index</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DELWP</w:t>
            </w:r>
          </w:p>
        </w:tc>
        <w:tc>
          <w:tcPr>
            <w:tcW w:w="7716" w:type="dxa"/>
          </w:tcPr>
          <w:p w:rsidR="00F90601" w:rsidRPr="00F90601" w:rsidRDefault="00F90601" w:rsidP="00F90601">
            <w:pPr>
              <w:rPr>
                <w:sz w:val="22"/>
                <w:lang w:val="en-US"/>
              </w:rPr>
            </w:pPr>
            <w:r w:rsidRPr="00F90601">
              <w:rPr>
                <w:sz w:val="22"/>
                <w:lang w:val="en-US"/>
              </w:rPr>
              <w:t>Victorian Department of Environment, Land, Water and Planning</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DEWNR</w:t>
            </w:r>
          </w:p>
        </w:tc>
        <w:tc>
          <w:tcPr>
            <w:tcW w:w="7716" w:type="dxa"/>
          </w:tcPr>
          <w:p w:rsidR="00F90601" w:rsidRPr="00F90601" w:rsidRDefault="00F90601" w:rsidP="00F90601">
            <w:pPr>
              <w:rPr>
                <w:sz w:val="22"/>
                <w:lang w:val="en-US"/>
              </w:rPr>
            </w:pPr>
            <w:r w:rsidRPr="00F90601">
              <w:rPr>
                <w:sz w:val="22"/>
                <w:lang w:val="en-US"/>
              </w:rPr>
              <w:t>South Australian Department of Environment, Water &amp; Natural Resources</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DNRM</w:t>
            </w:r>
          </w:p>
        </w:tc>
        <w:tc>
          <w:tcPr>
            <w:tcW w:w="7716" w:type="dxa"/>
          </w:tcPr>
          <w:p w:rsidR="00F90601" w:rsidRPr="00F90601" w:rsidRDefault="00F90601" w:rsidP="00F90601">
            <w:pPr>
              <w:rPr>
                <w:sz w:val="22"/>
                <w:lang w:val="en-US"/>
              </w:rPr>
            </w:pPr>
            <w:r w:rsidRPr="00F90601">
              <w:rPr>
                <w:sz w:val="22"/>
                <w:lang w:val="en-US"/>
              </w:rPr>
              <w:t>Queensland Department of Natural Resources and Mines</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DPI Water</w:t>
            </w:r>
          </w:p>
        </w:tc>
        <w:tc>
          <w:tcPr>
            <w:tcW w:w="7716" w:type="dxa"/>
          </w:tcPr>
          <w:p w:rsidR="00F90601" w:rsidRPr="00F90601" w:rsidRDefault="00F90601" w:rsidP="00F90601">
            <w:pPr>
              <w:rPr>
                <w:sz w:val="22"/>
                <w:lang w:val="en-US"/>
              </w:rPr>
            </w:pPr>
            <w:r w:rsidRPr="00F90601">
              <w:rPr>
                <w:sz w:val="22"/>
                <w:lang w:val="en-US"/>
              </w:rPr>
              <w:t>NSW Department of Primary Industries Water</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EPSDD</w:t>
            </w:r>
          </w:p>
        </w:tc>
        <w:tc>
          <w:tcPr>
            <w:tcW w:w="7716" w:type="dxa"/>
          </w:tcPr>
          <w:p w:rsidR="00F90601" w:rsidRPr="00F90601" w:rsidRDefault="00F90601" w:rsidP="00F90601">
            <w:pPr>
              <w:rPr>
                <w:sz w:val="22"/>
                <w:lang w:val="en-US"/>
              </w:rPr>
            </w:pPr>
            <w:r w:rsidRPr="00F90601">
              <w:rPr>
                <w:sz w:val="22"/>
                <w:lang w:val="en-US"/>
              </w:rPr>
              <w:t>ACT Environment, Planning and Sustainable Development Directorate</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ESC</w:t>
            </w:r>
          </w:p>
        </w:tc>
        <w:tc>
          <w:tcPr>
            <w:tcW w:w="7716" w:type="dxa"/>
          </w:tcPr>
          <w:p w:rsidR="00F90601" w:rsidRPr="00F90601" w:rsidRDefault="00F90601" w:rsidP="00F90601">
            <w:pPr>
              <w:rPr>
                <w:sz w:val="22"/>
                <w:lang w:val="en-US"/>
              </w:rPr>
            </w:pPr>
            <w:r w:rsidRPr="00F90601">
              <w:rPr>
                <w:sz w:val="22"/>
                <w:lang w:val="en-US"/>
              </w:rPr>
              <w:t>Essential Services Commission (Victoria)</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EWH</w:t>
            </w:r>
          </w:p>
        </w:tc>
        <w:tc>
          <w:tcPr>
            <w:tcW w:w="7716" w:type="dxa"/>
          </w:tcPr>
          <w:p w:rsidR="00F90601" w:rsidRPr="00F90601" w:rsidRDefault="00F90601" w:rsidP="00F90601">
            <w:pPr>
              <w:rPr>
                <w:sz w:val="22"/>
                <w:lang w:val="en-US"/>
              </w:rPr>
            </w:pPr>
            <w:r w:rsidRPr="00F90601">
              <w:rPr>
                <w:sz w:val="22"/>
                <w:lang w:val="en-US"/>
              </w:rPr>
              <w:t>Environmental Water Holder</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GL</w:t>
            </w:r>
          </w:p>
        </w:tc>
        <w:tc>
          <w:tcPr>
            <w:tcW w:w="7716" w:type="dxa"/>
          </w:tcPr>
          <w:p w:rsidR="00F90601" w:rsidRPr="00F90601" w:rsidRDefault="00F90601" w:rsidP="00F90601">
            <w:pPr>
              <w:rPr>
                <w:sz w:val="22"/>
                <w:lang w:val="en-US"/>
              </w:rPr>
            </w:pPr>
            <w:r w:rsidRPr="00F90601">
              <w:rPr>
                <w:sz w:val="22"/>
                <w:lang w:val="en-US"/>
              </w:rPr>
              <w:t>Gigalitre (one billion litres)</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GMW</w:t>
            </w:r>
          </w:p>
        </w:tc>
        <w:tc>
          <w:tcPr>
            <w:tcW w:w="7716" w:type="dxa"/>
          </w:tcPr>
          <w:p w:rsidR="00F90601" w:rsidRPr="00F90601" w:rsidRDefault="00F90601" w:rsidP="00F90601">
            <w:pPr>
              <w:rPr>
                <w:sz w:val="22"/>
                <w:lang w:val="en-US"/>
              </w:rPr>
            </w:pPr>
            <w:r w:rsidRPr="00F90601">
              <w:rPr>
                <w:sz w:val="22"/>
                <w:lang w:val="en-US"/>
              </w:rPr>
              <w:t>Goulburn-Murray Water</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GWMW</w:t>
            </w:r>
          </w:p>
        </w:tc>
        <w:tc>
          <w:tcPr>
            <w:tcW w:w="7716" w:type="dxa"/>
          </w:tcPr>
          <w:p w:rsidR="00F90601" w:rsidRPr="00F90601" w:rsidRDefault="00F90601" w:rsidP="00F90601">
            <w:pPr>
              <w:rPr>
                <w:sz w:val="22"/>
                <w:lang w:val="en-US"/>
              </w:rPr>
            </w:pPr>
            <w:r w:rsidRPr="00F90601">
              <w:rPr>
                <w:sz w:val="22"/>
                <w:lang w:val="en-US"/>
              </w:rPr>
              <w:t>Grampians Wimmera Mallee Water</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GS</w:t>
            </w:r>
          </w:p>
        </w:tc>
        <w:tc>
          <w:tcPr>
            <w:tcW w:w="7716" w:type="dxa"/>
          </w:tcPr>
          <w:p w:rsidR="00F90601" w:rsidRPr="00F90601" w:rsidRDefault="00F90601" w:rsidP="00F90601">
            <w:pPr>
              <w:rPr>
                <w:sz w:val="22"/>
                <w:lang w:val="en-US"/>
              </w:rPr>
            </w:pPr>
            <w:r w:rsidRPr="00F90601">
              <w:rPr>
                <w:sz w:val="22"/>
                <w:lang w:val="en-US"/>
              </w:rPr>
              <w:t>General security</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HP</w:t>
            </w:r>
          </w:p>
        </w:tc>
        <w:tc>
          <w:tcPr>
            <w:tcW w:w="7716" w:type="dxa"/>
          </w:tcPr>
          <w:p w:rsidR="00F90601" w:rsidRPr="00F90601" w:rsidRDefault="00F90601" w:rsidP="00F90601">
            <w:pPr>
              <w:rPr>
                <w:sz w:val="22"/>
                <w:lang w:val="en-US"/>
              </w:rPr>
            </w:pPr>
            <w:r w:rsidRPr="00F90601">
              <w:rPr>
                <w:sz w:val="22"/>
                <w:lang w:val="en-US"/>
              </w:rPr>
              <w:t>High pressure</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HS</w:t>
            </w:r>
          </w:p>
        </w:tc>
        <w:tc>
          <w:tcPr>
            <w:tcW w:w="7716" w:type="dxa"/>
          </w:tcPr>
          <w:p w:rsidR="00F90601" w:rsidRPr="00F90601" w:rsidRDefault="00F90601" w:rsidP="00F90601">
            <w:pPr>
              <w:rPr>
                <w:sz w:val="22"/>
                <w:lang w:val="en-US"/>
              </w:rPr>
            </w:pPr>
            <w:r w:rsidRPr="00F90601">
              <w:rPr>
                <w:sz w:val="22"/>
                <w:lang w:val="en-US"/>
              </w:rPr>
              <w:t>High security</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ICD</w:t>
            </w:r>
          </w:p>
        </w:tc>
        <w:tc>
          <w:tcPr>
            <w:tcW w:w="7716" w:type="dxa"/>
          </w:tcPr>
          <w:p w:rsidR="00F90601" w:rsidRPr="00F90601" w:rsidRDefault="008B66B6" w:rsidP="00F90601">
            <w:pPr>
              <w:rPr>
                <w:sz w:val="22"/>
                <w:lang w:val="en-US"/>
              </w:rPr>
            </w:pPr>
            <w:r>
              <w:rPr>
                <w:sz w:val="22"/>
                <w:lang w:val="en-US"/>
              </w:rPr>
              <w:t>I</w:t>
            </w:r>
            <w:r w:rsidRPr="00F90601">
              <w:rPr>
                <w:sz w:val="22"/>
                <w:lang w:val="en-US"/>
              </w:rPr>
              <w:t xml:space="preserve">rrigation </w:t>
            </w:r>
            <w:r w:rsidR="00F90601" w:rsidRPr="00F90601">
              <w:rPr>
                <w:sz w:val="22"/>
                <w:lang w:val="en-US"/>
              </w:rPr>
              <w:t>corporation and district</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IIO</w:t>
            </w:r>
          </w:p>
        </w:tc>
        <w:tc>
          <w:tcPr>
            <w:tcW w:w="7716" w:type="dxa"/>
          </w:tcPr>
          <w:p w:rsidR="00F90601" w:rsidRPr="00F90601" w:rsidRDefault="00F90601" w:rsidP="00F90601">
            <w:pPr>
              <w:rPr>
                <w:sz w:val="22"/>
                <w:lang w:val="en-US"/>
              </w:rPr>
            </w:pPr>
            <w:r w:rsidRPr="00F90601">
              <w:rPr>
                <w:sz w:val="22"/>
                <w:lang w:val="en-US"/>
              </w:rPr>
              <w:t>Irrigation infrastructure operator</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IPART</w:t>
            </w:r>
          </w:p>
        </w:tc>
        <w:tc>
          <w:tcPr>
            <w:tcW w:w="7716" w:type="dxa"/>
          </w:tcPr>
          <w:p w:rsidR="00F90601" w:rsidRPr="00F90601" w:rsidRDefault="00F90601" w:rsidP="00F90601">
            <w:pPr>
              <w:rPr>
                <w:sz w:val="22"/>
                <w:lang w:val="en-US"/>
              </w:rPr>
            </w:pPr>
            <w:r w:rsidRPr="00F90601">
              <w:rPr>
                <w:sz w:val="22"/>
                <w:lang w:val="en-US"/>
              </w:rPr>
              <w:t>Independent Pricing and Regulatory Tribunal (NSW)</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IR</w:t>
            </w:r>
          </w:p>
        </w:tc>
        <w:tc>
          <w:tcPr>
            <w:tcW w:w="7716" w:type="dxa"/>
          </w:tcPr>
          <w:p w:rsidR="00F90601" w:rsidRPr="00F90601" w:rsidRDefault="00F90601" w:rsidP="00F90601">
            <w:pPr>
              <w:rPr>
                <w:sz w:val="22"/>
                <w:lang w:val="en-US"/>
              </w:rPr>
            </w:pPr>
            <w:r w:rsidRPr="00F90601">
              <w:rPr>
                <w:sz w:val="22"/>
                <w:lang w:val="en-US"/>
              </w:rPr>
              <w:t>Irrigation right</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JWSS</w:t>
            </w:r>
          </w:p>
        </w:tc>
        <w:tc>
          <w:tcPr>
            <w:tcW w:w="7716" w:type="dxa"/>
          </w:tcPr>
          <w:p w:rsidR="00F90601" w:rsidRPr="00F90601" w:rsidRDefault="00F90601" w:rsidP="00F90601">
            <w:pPr>
              <w:rPr>
                <w:sz w:val="22"/>
                <w:lang w:val="en-US"/>
              </w:rPr>
            </w:pPr>
            <w:r w:rsidRPr="00F90601">
              <w:rPr>
                <w:sz w:val="22"/>
                <w:lang w:val="en-US"/>
              </w:rPr>
              <w:t>Joint Water Supply Scheme</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LMW</w:t>
            </w:r>
          </w:p>
        </w:tc>
        <w:tc>
          <w:tcPr>
            <w:tcW w:w="7716" w:type="dxa"/>
          </w:tcPr>
          <w:p w:rsidR="00F90601" w:rsidRPr="00F90601" w:rsidRDefault="00F90601" w:rsidP="00F90601">
            <w:pPr>
              <w:rPr>
                <w:sz w:val="22"/>
                <w:lang w:val="en-US"/>
              </w:rPr>
            </w:pPr>
            <w:r w:rsidRPr="00F90601">
              <w:rPr>
                <w:sz w:val="22"/>
                <w:lang w:val="en-US"/>
              </w:rPr>
              <w:t>Lower Murray Water</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lastRenderedPageBreak/>
              <w:t>LP</w:t>
            </w:r>
          </w:p>
        </w:tc>
        <w:tc>
          <w:tcPr>
            <w:tcW w:w="7716" w:type="dxa"/>
          </w:tcPr>
          <w:p w:rsidR="00F90601" w:rsidRPr="00F90601" w:rsidRDefault="00F90601" w:rsidP="00F90601">
            <w:pPr>
              <w:rPr>
                <w:sz w:val="22"/>
                <w:lang w:val="en-US"/>
              </w:rPr>
            </w:pPr>
            <w:r w:rsidRPr="00F90601">
              <w:rPr>
                <w:sz w:val="22"/>
                <w:lang w:val="en-US"/>
              </w:rPr>
              <w:t>Low pressure</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LTAAY</w:t>
            </w:r>
          </w:p>
        </w:tc>
        <w:tc>
          <w:tcPr>
            <w:tcW w:w="7716" w:type="dxa"/>
          </w:tcPr>
          <w:p w:rsidR="00F90601" w:rsidRPr="00F90601" w:rsidRDefault="00F90601" w:rsidP="00F90601">
            <w:pPr>
              <w:rPr>
                <w:sz w:val="22"/>
                <w:lang w:val="en-US"/>
              </w:rPr>
            </w:pPr>
            <w:r w:rsidRPr="00F90601">
              <w:rPr>
                <w:sz w:val="22"/>
                <w:lang w:val="en-US"/>
              </w:rPr>
              <w:t>Long Term Average Annual Yield</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MDB</w:t>
            </w:r>
          </w:p>
        </w:tc>
        <w:tc>
          <w:tcPr>
            <w:tcW w:w="7716" w:type="dxa"/>
          </w:tcPr>
          <w:p w:rsidR="00F90601" w:rsidRPr="00F90601" w:rsidRDefault="00F90601" w:rsidP="00F90601">
            <w:pPr>
              <w:rPr>
                <w:sz w:val="22"/>
                <w:lang w:val="en-US"/>
              </w:rPr>
            </w:pPr>
            <w:r w:rsidRPr="00F90601">
              <w:rPr>
                <w:sz w:val="22"/>
                <w:lang w:val="en-US"/>
              </w:rPr>
              <w:t>Murray-Darling Basin</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MDBA</w:t>
            </w:r>
          </w:p>
        </w:tc>
        <w:tc>
          <w:tcPr>
            <w:tcW w:w="7716" w:type="dxa"/>
          </w:tcPr>
          <w:p w:rsidR="00F90601" w:rsidRPr="00F90601" w:rsidRDefault="00F90601" w:rsidP="00F90601">
            <w:pPr>
              <w:rPr>
                <w:sz w:val="22"/>
                <w:lang w:val="en-US"/>
              </w:rPr>
            </w:pPr>
            <w:r w:rsidRPr="00F90601">
              <w:rPr>
                <w:sz w:val="22"/>
                <w:lang w:val="en-US"/>
              </w:rPr>
              <w:t>Murray-Darling Basin Authority</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MI</w:t>
            </w:r>
          </w:p>
        </w:tc>
        <w:tc>
          <w:tcPr>
            <w:tcW w:w="7716" w:type="dxa"/>
          </w:tcPr>
          <w:p w:rsidR="00F90601" w:rsidRPr="00F90601" w:rsidRDefault="00F90601" w:rsidP="00F90601">
            <w:pPr>
              <w:rPr>
                <w:sz w:val="22"/>
                <w:lang w:val="en-US"/>
              </w:rPr>
            </w:pPr>
            <w:r w:rsidRPr="00F90601">
              <w:rPr>
                <w:sz w:val="22"/>
                <w:lang w:val="en-US"/>
              </w:rPr>
              <w:t>Murrumbidgee Irrigation Limited</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MIL</w:t>
            </w:r>
          </w:p>
        </w:tc>
        <w:tc>
          <w:tcPr>
            <w:tcW w:w="7716" w:type="dxa"/>
          </w:tcPr>
          <w:p w:rsidR="00F90601" w:rsidRPr="00F90601" w:rsidRDefault="00F90601" w:rsidP="00F90601">
            <w:pPr>
              <w:rPr>
                <w:sz w:val="22"/>
                <w:lang w:val="en-US"/>
              </w:rPr>
            </w:pPr>
            <w:r w:rsidRPr="00F90601">
              <w:rPr>
                <w:sz w:val="22"/>
                <w:lang w:val="en-US"/>
              </w:rPr>
              <w:t>Murray Irrigation Limited</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MJA</w:t>
            </w:r>
          </w:p>
        </w:tc>
        <w:tc>
          <w:tcPr>
            <w:tcW w:w="7716" w:type="dxa"/>
          </w:tcPr>
          <w:p w:rsidR="00F90601" w:rsidRPr="00F90601" w:rsidRDefault="00F90601" w:rsidP="00F90601">
            <w:pPr>
              <w:rPr>
                <w:sz w:val="22"/>
                <w:lang w:val="en-US"/>
              </w:rPr>
            </w:pPr>
            <w:r w:rsidRPr="00F90601">
              <w:rPr>
                <w:sz w:val="22"/>
                <w:lang w:val="en-US"/>
              </w:rPr>
              <w:t>Marsden Jacob Associates</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ML</w:t>
            </w:r>
          </w:p>
        </w:tc>
        <w:tc>
          <w:tcPr>
            <w:tcW w:w="7716" w:type="dxa"/>
          </w:tcPr>
          <w:p w:rsidR="00F90601" w:rsidRPr="00F90601" w:rsidRDefault="00F90601" w:rsidP="00F90601">
            <w:pPr>
              <w:rPr>
                <w:sz w:val="22"/>
                <w:lang w:val="en-US"/>
              </w:rPr>
            </w:pPr>
            <w:r w:rsidRPr="00F90601">
              <w:rPr>
                <w:sz w:val="22"/>
                <w:lang w:val="en-US"/>
              </w:rPr>
              <w:t>Megalitre (one million litres)</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MP</w:t>
            </w:r>
          </w:p>
        </w:tc>
        <w:tc>
          <w:tcPr>
            <w:tcW w:w="7716" w:type="dxa"/>
          </w:tcPr>
          <w:p w:rsidR="00F90601" w:rsidRPr="00F90601" w:rsidRDefault="00F90601" w:rsidP="00F90601">
            <w:pPr>
              <w:rPr>
                <w:sz w:val="22"/>
                <w:lang w:val="en-US"/>
              </w:rPr>
            </w:pPr>
            <w:r w:rsidRPr="00F90601">
              <w:rPr>
                <w:sz w:val="22"/>
                <w:lang w:val="en-US"/>
              </w:rPr>
              <w:t>Medium pressure</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NVIRP</w:t>
            </w:r>
          </w:p>
        </w:tc>
        <w:tc>
          <w:tcPr>
            <w:tcW w:w="7716" w:type="dxa"/>
          </w:tcPr>
          <w:p w:rsidR="00F90601" w:rsidRPr="00F90601" w:rsidRDefault="00F90601" w:rsidP="00F90601">
            <w:pPr>
              <w:rPr>
                <w:sz w:val="22"/>
                <w:lang w:val="en-US"/>
              </w:rPr>
            </w:pPr>
            <w:r w:rsidRPr="00F90601">
              <w:rPr>
                <w:sz w:val="22"/>
                <w:lang w:val="en-US"/>
              </w:rPr>
              <w:t>Northern Victoria Irrigation Renewal Project</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NWC</w:t>
            </w:r>
          </w:p>
        </w:tc>
        <w:tc>
          <w:tcPr>
            <w:tcW w:w="7716" w:type="dxa"/>
          </w:tcPr>
          <w:p w:rsidR="00F90601" w:rsidRPr="00F90601" w:rsidRDefault="00F90601" w:rsidP="00F90601">
            <w:pPr>
              <w:rPr>
                <w:sz w:val="22"/>
                <w:lang w:val="en-US"/>
              </w:rPr>
            </w:pPr>
            <w:r w:rsidRPr="00F90601">
              <w:rPr>
                <w:sz w:val="22"/>
                <w:lang w:val="en-US"/>
              </w:rPr>
              <w:t>National Water Commission</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NWI</w:t>
            </w:r>
          </w:p>
        </w:tc>
        <w:tc>
          <w:tcPr>
            <w:tcW w:w="7716" w:type="dxa"/>
          </w:tcPr>
          <w:p w:rsidR="00F90601" w:rsidRPr="00F90601" w:rsidRDefault="00F90601" w:rsidP="00F90601">
            <w:pPr>
              <w:rPr>
                <w:sz w:val="22"/>
                <w:lang w:val="en-US"/>
              </w:rPr>
            </w:pPr>
            <w:r w:rsidRPr="00F90601">
              <w:rPr>
                <w:sz w:val="22"/>
                <w:lang w:val="en-US"/>
              </w:rPr>
              <w:t>National Water Initiative</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Off</w:t>
            </w:r>
            <w:r w:rsidRPr="00F90601">
              <w:rPr>
                <w:rFonts w:eastAsia="MS Gothic" w:cs="MS Gothic" w:hint="eastAsia"/>
                <w:sz w:val="22"/>
              </w:rPr>
              <w:t>‑</w:t>
            </w:r>
            <w:r w:rsidRPr="00F90601">
              <w:rPr>
                <w:sz w:val="22"/>
                <w:lang w:val="en-US"/>
              </w:rPr>
              <w:t>river IO</w:t>
            </w:r>
          </w:p>
        </w:tc>
        <w:tc>
          <w:tcPr>
            <w:tcW w:w="7716" w:type="dxa"/>
          </w:tcPr>
          <w:p w:rsidR="00F90601" w:rsidRPr="00F90601" w:rsidRDefault="00F90601" w:rsidP="00F90601">
            <w:pPr>
              <w:rPr>
                <w:sz w:val="22"/>
                <w:lang w:val="en-US"/>
              </w:rPr>
            </w:pPr>
            <w:r w:rsidRPr="00F90601">
              <w:rPr>
                <w:sz w:val="22"/>
                <w:lang w:val="en-US"/>
              </w:rPr>
              <w:t>Off</w:t>
            </w:r>
            <w:r w:rsidRPr="00F90601">
              <w:rPr>
                <w:rFonts w:eastAsia="MS Gothic" w:cs="MS Gothic" w:hint="eastAsia"/>
                <w:sz w:val="22"/>
              </w:rPr>
              <w:t>‑</w:t>
            </w:r>
            <w:r w:rsidRPr="00F90601">
              <w:rPr>
                <w:sz w:val="22"/>
                <w:lang w:val="en-US"/>
              </w:rPr>
              <w:t>river infrastructure operator</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On</w:t>
            </w:r>
            <w:r w:rsidRPr="00F90601">
              <w:rPr>
                <w:rFonts w:eastAsia="MS Gothic" w:cs="MS Gothic" w:hint="eastAsia"/>
                <w:sz w:val="22"/>
              </w:rPr>
              <w:t>‑</w:t>
            </w:r>
            <w:r w:rsidRPr="00F90601">
              <w:rPr>
                <w:sz w:val="22"/>
                <w:lang w:val="en-US"/>
              </w:rPr>
              <w:t>river IO</w:t>
            </w:r>
          </w:p>
        </w:tc>
        <w:tc>
          <w:tcPr>
            <w:tcW w:w="7716" w:type="dxa"/>
          </w:tcPr>
          <w:p w:rsidR="00F90601" w:rsidRPr="00F90601" w:rsidRDefault="00F90601" w:rsidP="00F90601">
            <w:pPr>
              <w:rPr>
                <w:sz w:val="22"/>
                <w:lang w:val="en-US"/>
              </w:rPr>
            </w:pPr>
            <w:r w:rsidRPr="00F90601">
              <w:rPr>
                <w:sz w:val="22"/>
                <w:lang w:val="en-US"/>
              </w:rPr>
              <w:t>On</w:t>
            </w:r>
            <w:r w:rsidRPr="00F90601">
              <w:rPr>
                <w:rFonts w:eastAsia="MS Gothic" w:cs="MS Gothic" w:hint="eastAsia"/>
                <w:sz w:val="22"/>
              </w:rPr>
              <w:t>‑</w:t>
            </w:r>
            <w:r w:rsidRPr="00F90601">
              <w:rPr>
                <w:sz w:val="22"/>
                <w:lang w:val="en-US"/>
              </w:rPr>
              <w:t>river infrastructure operator</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PIIOP</w:t>
            </w:r>
          </w:p>
        </w:tc>
        <w:tc>
          <w:tcPr>
            <w:tcW w:w="7716" w:type="dxa"/>
          </w:tcPr>
          <w:p w:rsidR="00F90601" w:rsidRPr="00F90601" w:rsidRDefault="00F90601" w:rsidP="00F90601">
            <w:pPr>
              <w:rPr>
                <w:sz w:val="22"/>
                <w:lang w:val="en-US"/>
              </w:rPr>
            </w:pPr>
            <w:r w:rsidRPr="00F90601">
              <w:rPr>
                <w:sz w:val="22"/>
                <w:lang w:val="en-US"/>
              </w:rPr>
              <w:t>NSW Private Irrigation Infrastructure Operators Program</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QCA</w:t>
            </w:r>
          </w:p>
        </w:tc>
        <w:tc>
          <w:tcPr>
            <w:tcW w:w="7716" w:type="dxa"/>
          </w:tcPr>
          <w:p w:rsidR="00F90601" w:rsidRPr="00F90601" w:rsidRDefault="00F90601" w:rsidP="00F90601">
            <w:pPr>
              <w:rPr>
                <w:sz w:val="22"/>
                <w:lang w:val="en-US"/>
              </w:rPr>
            </w:pPr>
            <w:r w:rsidRPr="00F90601">
              <w:rPr>
                <w:sz w:val="22"/>
                <w:lang w:val="en-US"/>
              </w:rPr>
              <w:t>Queensland Competition Authority</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RFI</w:t>
            </w:r>
          </w:p>
        </w:tc>
        <w:tc>
          <w:tcPr>
            <w:tcW w:w="7716" w:type="dxa"/>
          </w:tcPr>
          <w:p w:rsidR="00F90601" w:rsidRPr="00F90601" w:rsidRDefault="00F90601" w:rsidP="00F90601">
            <w:pPr>
              <w:rPr>
                <w:sz w:val="22"/>
                <w:lang w:val="en-US"/>
              </w:rPr>
            </w:pPr>
            <w:r w:rsidRPr="00F90601">
              <w:rPr>
                <w:sz w:val="22"/>
                <w:lang w:val="en-US"/>
              </w:rPr>
              <w:t>Request for Information</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RIT</w:t>
            </w:r>
          </w:p>
        </w:tc>
        <w:tc>
          <w:tcPr>
            <w:tcW w:w="7716" w:type="dxa"/>
          </w:tcPr>
          <w:p w:rsidR="00F90601" w:rsidRPr="00F90601" w:rsidRDefault="00F90601" w:rsidP="00F90601">
            <w:pPr>
              <w:rPr>
                <w:sz w:val="22"/>
                <w:lang w:val="en-US"/>
              </w:rPr>
            </w:pPr>
            <w:r w:rsidRPr="00F90601">
              <w:rPr>
                <w:sz w:val="22"/>
                <w:lang w:val="en-US"/>
              </w:rPr>
              <w:t>Renmark Irrigation Trust</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SDL</w:t>
            </w:r>
          </w:p>
        </w:tc>
        <w:tc>
          <w:tcPr>
            <w:tcW w:w="7716" w:type="dxa"/>
          </w:tcPr>
          <w:p w:rsidR="00F90601" w:rsidRPr="00F90601" w:rsidRDefault="00F90601" w:rsidP="00F90601">
            <w:pPr>
              <w:rPr>
                <w:sz w:val="22"/>
                <w:lang w:val="en-US"/>
              </w:rPr>
            </w:pPr>
            <w:r w:rsidRPr="00F90601">
              <w:rPr>
                <w:sz w:val="22"/>
                <w:lang w:val="en-US"/>
              </w:rPr>
              <w:t>Sustainable diversion limit</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TNAC</w:t>
            </w:r>
          </w:p>
        </w:tc>
        <w:tc>
          <w:tcPr>
            <w:tcW w:w="7716" w:type="dxa"/>
          </w:tcPr>
          <w:p w:rsidR="00F90601" w:rsidRPr="00F90601" w:rsidRDefault="00F90601" w:rsidP="00F90601">
            <w:pPr>
              <w:rPr>
                <w:sz w:val="22"/>
                <w:lang w:val="en-US"/>
              </w:rPr>
            </w:pPr>
            <w:r w:rsidRPr="00F90601">
              <w:rPr>
                <w:sz w:val="22"/>
                <w:lang w:val="en-US"/>
              </w:rPr>
              <w:t>Total Network Access Charge</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WA</w:t>
            </w:r>
          </w:p>
        </w:tc>
        <w:tc>
          <w:tcPr>
            <w:tcW w:w="7716" w:type="dxa"/>
          </w:tcPr>
          <w:p w:rsidR="00F90601" w:rsidRPr="00F90601" w:rsidRDefault="00F90601" w:rsidP="00F90601">
            <w:pPr>
              <w:rPr>
                <w:sz w:val="22"/>
                <w:lang w:val="en-US"/>
              </w:rPr>
            </w:pPr>
            <w:r w:rsidRPr="00F90601">
              <w:rPr>
                <w:sz w:val="22"/>
                <w:lang w:val="en-US"/>
              </w:rPr>
              <w:t>Water allocation</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WAE</w:t>
            </w:r>
          </w:p>
        </w:tc>
        <w:tc>
          <w:tcPr>
            <w:tcW w:w="7716" w:type="dxa"/>
          </w:tcPr>
          <w:p w:rsidR="00F90601" w:rsidRPr="00F90601" w:rsidRDefault="00F90601" w:rsidP="00F90601">
            <w:pPr>
              <w:rPr>
                <w:sz w:val="22"/>
                <w:lang w:val="en-US"/>
              </w:rPr>
            </w:pPr>
            <w:r w:rsidRPr="00F90601">
              <w:rPr>
                <w:sz w:val="22"/>
                <w:lang w:val="en-US"/>
              </w:rPr>
              <w:t>Water access entitlement</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WCIR</w:t>
            </w:r>
          </w:p>
        </w:tc>
        <w:tc>
          <w:tcPr>
            <w:tcW w:w="7716" w:type="dxa"/>
          </w:tcPr>
          <w:p w:rsidR="00F90601" w:rsidRPr="00F90601" w:rsidRDefault="00F90601" w:rsidP="00F90601">
            <w:pPr>
              <w:rPr>
                <w:sz w:val="22"/>
                <w:lang w:val="en-US"/>
              </w:rPr>
            </w:pPr>
            <w:r w:rsidRPr="00F90601">
              <w:rPr>
                <w:sz w:val="22"/>
                <w:lang w:val="en-US"/>
              </w:rPr>
              <w:t>Water Charge (Infrastructure) Rules 2010</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WCPMIR</w:t>
            </w:r>
          </w:p>
        </w:tc>
        <w:tc>
          <w:tcPr>
            <w:tcW w:w="7716" w:type="dxa"/>
          </w:tcPr>
          <w:p w:rsidR="00F90601" w:rsidRPr="00F90601" w:rsidRDefault="00F90601" w:rsidP="00F90601">
            <w:pPr>
              <w:rPr>
                <w:sz w:val="22"/>
                <w:lang w:val="en-US"/>
              </w:rPr>
            </w:pPr>
            <w:r w:rsidRPr="00F90601">
              <w:rPr>
                <w:sz w:val="22"/>
                <w:lang w:val="en-US"/>
              </w:rPr>
              <w:t>Water Charge (Planning and Management Information) Rules 2010</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WCTFR</w:t>
            </w:r>
          </w:p>
        </w:tc>
        <w:tc>
          <w:tcPr>
            <w:tcW w:w="7716" w:type="dxa"/>
          </w:tcPr>
          <w:p w:rsidR="00F90601" w:rsidRPr="00F90601" w:rsidRDefault="00F90601" w:rsidP="00F90601">
            <w:pPr>
              <w:rPr>
                <w:sz w:val="22"/>
                <w:lang w:val="en-US"/>
              </w:rPr>
            </w:pPr>
            <w:r w:rsidRPr="00F90601">
              <w:rPr>
                <w:sz w:val="22"/>
                <w:lang w:val="en-US"/>
              </w:rPr>
              <w:t>Water Charge (Termination Fees) Rules 2009</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WDR</w:t>
            </w:r>
          </w:p>
        </w:tc>
        <w:tc>
          <w:tcPr>
            <w:tcW w:w="7716" w:type="dxa"/>
          </w:tcPr>
          <w:p w:rsidR="00F90601" w:rsidRPr="00F90601" w:rsidRDefault="00F90601" w:rsidP="00F90601">
            <w:pPr>
              <w:rPr>
                <w:sz w:val="22"/>
                <w:lang w:val="en-US"/>
              </w:rPr>
            </w:pPr>
            <w:r w:rsidRPr="00F90601">
              <w:rPr>
                <w:sz w:val="22"/>
                <w:lang w:val="en-US"/>
              </w:rPr>
              <w:t>Water delivery right</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WMI</w:t>
            </w:r>
          </w:p>
        </w:tc>
        <w:tc>
          <w:tcPr>
            <w:tcW w:w="7716" w:type="dxa"/>
          </w:tcPr>
          <w:p w:rsidR="00F90601" w:rsidRPr="00F90601" w:rsidRDefault="00F90601" w:rsidP="00F90601">
            <w:pPr>
              <w:rPr>
                <w:sz w:val="22"/>
                <w:lang w:val="en-US"/>
              </w:rPr>
            </w:pPr>
            <w:r w:rsidRPr="00F90601">
              <w:rPr>
                <w:sz w:val="22"/>
                <w:lang w:val="en-US"/>
              </w:rPr>
              <w:t>Western Murray Irrigation Limited</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t>WMR</w:t>
            </w:r>
          </w:p>
        </w:tc>
        <w:tc>
          <w:tcPr>
            <w:tcW w:w="7716" w:type="dxa"/>
          </w:tcPr>
          <w:p w:rsidR="00F90601" w:rsidRPr="00F90601" w:rsidRDefault="00F90601" w:rsidP="00F90601">
            <w:pPr>
              <w:rPr>
                <w:sz w:val="22"/>
                <w:lang w:val="en-US"/>
              </w:rPr>
            </w:pPr>
            <w:r w:rsidRPr="00F90601">
              <w:rPr>
                <w:sz w:val="22"/>
                <w:lang w:val="en-US"/>
              </w:rPr>
              <w:t>Water Market Rules 2009</w:t>
            </w:r>
          </w:p>
        </w:tc>
      </w:tr>
      <w:tr w:rsidR="00F90601" w:rsidRPr="009C738F" w:rsidTr="00F90601">
        <w:tc>
          <w:tcPr>
            <w:tcW w:w="1526" w:type="dxa"/>
          </w:tcPr>
          <w:p w:rsidR="00F90601" w:rsidRPr="00F90601" w:rsidRDefault="00F90601" w:rsidP="00F90601">
            <w:pPr>
              <w:rPr>
                <w:sz w:val="22"/>
                <w:lang w:val="en-US"/>
              </w:rPr>
            </w:pPr>
            <w:r w:rsidRPr="00F90601">
              <w:rPr>
                <w:sz w:val="22"/>
                <w:lang w:val="en-US"/>
              </w:rPr>
              <w:lastRenderedPageBreak/>
              <w:t>WPM</w:t>
            </w:r>
          </w:p>
        </w:tc>
        <w:tc>
          <w:tcPr>
            <w:tcW w:w="7716" w:type="dxa"/>
          </w:tcPr>
          <w:p w:rsidR="00F90601" w:rsidRPr="00F90601" w:rsidRDefault="00F90601" w:rsidP="00F90601">
            <w:pPr>
              <w:rPr>
                <w:sz w:val="22"/>
              </w:rPr>
            </w:pPr>
            <w:r w:rsidRPr="00F90601">
              <w:rPr>
                <w:sz w:val="22"/>
                <w:lang w:val="en-US"/>
              </w:rPr>
              <w:t>Water Planning and Management</w:t>
            </w:r>
          </w:p>
        </w:tc>
      </w:tr>
    </w:tbl>
    <w:p w:rsidR="00DC36B0" w:rsidRDefault="00375CA1" w:rsidP="00B53C4E">
      <w:pPr>
        <w:pStyle w:val="Heading1"/>
      </w:pPr>
      <w:r w:rsidRPr="00646225">
        <w:br w:type="page"/>
      </w:r>
      <w:bookmarkStart w:id="3" w:name="_Toc485303323"/>
      <w:r w:rsidR="00DC36B0">
        <w:lastRenderedPageBreak/>
        <w:t>Glossary</w:t>
      </w:r>
      <w:bookmarkEnd w:id="3"/>
    </w:p>
    <w:tbl>
      <w:tblPr>
        <w:tblW w:w="5000" w:type="pct"/>
        <w:tblCellMar>
          <w:left w:w="0" w:type="dxa"/>
          <w:right w:w="0" w:type="dxa"/>
        </w:tblCellMar>
        <w:tblLook w:val="0000" w:firstRow="0" w:lastRow="0" w:firstColumn="0" w:lastColumn="0" w:noHBand="0" w:noVBand="0"/>
      </w:tblPr>
      <w:tblGrid>
        <w:gridCol w:w="2652"/>
        <w:gridCol w:w="6374"/>
      </w:tblGrid>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Basin Plan</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 high level framework agreed to by the Australian Government and Basin States that sets standards for the management of the Murray-Darling Basin</w:t>
            </w:r>
            <w:r>
              <w:t>’</w:t>
            </w:r>
            <w:r w:rsidRPr="00DA01B6">
              <w:t>s water resources in a coordinated and sustainable way in collaboration with the community. Officially known as the Basin Plan 2012</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Basin Plan Water Trading Rules (BPWTR)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the rules set out in Part 12 of the Basin Plan—these rules relate to the trade or transfer of tradeable water rights. The rules commenced on 1 July 2014 and are enforced by the Murray</w:t>
            </w:r>
            <w:r w:rsidRPr="00F90601">
              <w:rPr>
                <w:rFonts w:hint="eastAsia"/>
              </w:rPr>
              <w:t>‑</w:t>
            </w:r>
            <w:r w:rsidRPr="00DA01B6">
              <w:t>Darling Basin Authority</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Basin State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NSW, Victoria, Queensland, SA, or the ACT</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bulk water charge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 charge payable for either or both the storage of water for, or the delivery of water to:</w:t>
            </w:r>
          </w:p>
          <w:p w:rsidR="00F90601" w:rsidRPr="00DA01B6" w:rsidRDefault="00F90601" w:rsidP="001878FA">
            <w:pPr>
              <w:pStyle w:val="ListLegal"/>
            </w:pPr>
            <w:r w:rsidRPr="00DA01B6">
              <w:t>infrastructure operators</w:t>
            </w:r>
          </w:p>
          <w:p w:rsidR="00F90601" w:rsidRPr="00DA01B6" w:rsidRDefault="00F90601" w:rsidP="001878FA">
            <w:pPr>
              <w:pStyle w:val="ListLegal"/>
            </w:pPr>
            <w:r w:rsidRPr="00DA01B6">
              <w:t>other operators of reticulated water systems</w:t>
            </w:r>
          </w:p>
          <w:p w:rsidR="00F90601" w:rsidRPr="00DA01B6" w:rsidRDefault="00F90601" w:rsidP="001878FA">
            <w:pPr>
              <w:pStyle w:val="ListLegal"/>
            </w:pPr>
            <w:r w:rsidRPr="00DA01B6">
              <w:t>other persons (including private diverters and environmental water holders)</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carryover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arrangements which allow water entitlement holders to hold allocated water in storages so that it is available in subsequent years</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infrastructure charge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charges infrastructure operators impose for access to their water service infrastructure and services provided in relation to that access</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infrastructure operator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any person or entity who owns or operates infrastructure for one or more of the following purposes:</w:t>
            </w:r>
          </w:p>
          <w:p w:rsidR="00F90601" w:rsidRPr="00DA01B6" w:rsidRDefault="00F90601" w:rsidP="001878FA">
            <w:pPr>
              <w:pStyle w:val="ListLegal"/>
              <w:numPr>
                <w:ilvl w:val="0"/>
                <w:numId w:val="43"/>
              </w:numPr>
            </w:pPr>
            <w:r w:rsidRPr="00DA01B6">
              <w:t>the storage of water</w:t>
            </w:r>
          </w:p>
          <w:p w:rsidR="00F90601" w:rsidRPr="00DA01B6" w:rsidRDefault="00F90601" w:rsidP="001878FA">
            <w:pPr>
              <w:pStyle w:val="ListLegal"/>
            </w:pPr>
            <w:r w:rsidRPr="00DA01B6">
              <w:t>the delivery of water</w:t>
            </w:r>
          </w:p>
          <w:p w:rsidR="00F90601" w:rsidRPr="00DA01B6" w:rsidRDefault="00F90601" w:rsidP="001878FA">
            <w:pPr>
              <w:pStyle w:val="ListLegal"/>
            </w:pPr>
            <w:r w:rsidRPr="00DA01B6">
              <w:t>the drainage of water</w:t>
            </w:r>
          </w:p>
          <w:p w:rsidR="00F90601" w:rsidRPr="00DA01B6" w:rsidRDefault="00F90601" w:rsidP="00F90601">
            <w:r w:rsidRPr="00DA01B6">
              <w:t>for the purpose of providing a service to someone who does not own or operate the infrastructure</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irrigation infrastructure operator (IIO)</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an infrastructure operator who owns or operates water service infrastructure for the purpose of delivering water for the primary purpose of being used for irrigation</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lastRenderedPageBreak/>
              <w:t>irrigation network</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defined in s. 7(4) of the Act as the water service infrastructure of an irrigation infrastructure operator—in practice, irrigation networks typically constitute a network of carriers (open channels, pipes and/or natural waterways) used to convey water from a water source through customer service points to customer properties—an irrigation network may be either a gravity-fed network (typically using channels and/or natural waterways) or a pressurised network (using pipes)</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irrigation right</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 right that a person has against an IIO to receive water which is not a water access right or a water delivery right—an irrigation right can usually be transformed into a water access entitlement</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infrastructure service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access, or a service provided in relation to access, to water service infrastructure and includes the storage, delivery, drainage and taking of water</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non-volumetric charge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 charge that does not reference a volume of a water right, for example, a charge which is levied per account, per outlet or per meter</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off</w:t>
            </w:r>
            <w:r w:rsidRPr="00DA47C0">
              <w:rPr>
                <w:rFonts w:ascii="MS Gothic" w:eastAsia="MS Gothic" w:hAnsi="MS Gothic" w:cs="MS Gothic" w:hint="eastAsia"/>
              </w:rPr>
              <w:t>‑</w:t>
            </w:r>
            <w:r w:rsidRPr="00DA01B6">
              <w:rPr>
                <w:rStyle w:val="Strong"/>
              </w:rPr>
              <w:t>river infrastructure service/off</w:t>
            </w:r>
            <w:r w:rsidRPr="00DA47C0">
              <w:rPr>
                <w:rFonts w:ascii="MS Gothic" w:eastAsia="MS Gothic" w:hAnsi="MS Gothic" w:cs="MS Gothic" w:hint="eastAsia"/>
              </w:rPr>
              <w:t>‑</w:t>
            </w:r>
            <w:r w:rsidRPr="00DA01B6">
              <w:rPr>
                <w:rStyle w:val="Strong"/>
              </w:rPr>
              <w:t>river infrastructure operator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includes the storage, delivery and/or drainage of water diverted from a natural watercourse through a network consisting of channels and/or pipes (which can be gravity-fed or pressurised) to another person</w:t>
            </w:r>
          </w:p>
          <w:p w:rsidR="00F90601" w:rsidRPr="00DA01B6" w:rsidRDefault="00F90601" w:rsidP="00F90601">
            <w:r w:rsidRPr="00DA01B6">
              <w:t>an operator providing such services is an off</w:t>
            </w:r>
            <w:r w:rsidRPr="00F90601">
              <w:rPr>
                <w:rFonts w:hint="eastAsia"/>
              </w:rPr>
              <w:t>‑</w:t>
            </w:r>
            <w:r w:rsidRPr="00DA01B6">
              <w:t>river infrastructure operator</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on</w:t>
            </w:r>
            <w:r w:rsidRPr="00DA47C0">
              <w:rPr>
                <w:rFonts w:ascii="MS Gothic" w:eastAsia="MS Gothic" w:hAnsi="MS Gothic" w:cs="MS Gothic" w:hint="eastAsia"/>
              </w:rPr>
              <w:t>‑</w:t>
            </w:r>
            <w:r w:rsidRPr="00DA01B6">
              <w:rPr>
                <w:rStyle w:val="Strong"/>
              </w:rPr>
              <w:t>river infrastructure service/on</w:t>
            </w:r>
            <w:r w:rsidRPr="00DA47C0">
              <w:rPr>
                <w:rFonts w:ascii="MS Gothic" w:eastAsia="MS Gothic" w:hAnsi="MS Gothic" w:cs="MS Gothic" w:hint="eastAsia"/>
              </w:rPr>
              <w:t>‑</w:t>
            </w:r>
            <w:r w:rsidRPr="00DA01B6">
              <w:rPr>
                <w:rStyle w:val="Strong"/>
              </w:rPr>
              <w:t>river infrastructure operator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includes harvesting and storing water through infrastructure, such as dams, lakes, weirs and reservoirs located primarily on a natural watercourse, and delivering water, primarily through natural watercourses</w:t>
            </w:r>
          </w:p>
          <w:p w:rsidR="00F90601" w:rsidRPr="00DA01B6" w:rsidRDefault="00F90601" w:rsidP="00F90601">
            <w:r w:rsidRPr="00DA01B6">
              <w:t>an operator providing such services is an on</w:t>
            </w:r>
            <w:r w:rsidRPr="00F90601">
              <w:rPr>
                <w:rFonts w:hint="eastAsia"/>
              </w:rPr>
              <w:t>‑</w:t>
            </w:r>
            <w:r w:rsidRPr="00DA01B6">
              <w:t xml:space="preserve">river infrastructure operator </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private diverter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an irrigator that extracts water directly from a natural watercourse (either a regulated or unregulated river)</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regulated water charge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includes a water charge to which any of the three sets of water charge rules applies:</w:t>
            </w:r>
          </w:p>
          <w:p w:rsidR="00F90601" w:rsidRPr="00DA01B6" w:rsidRDefault="00F90601" w:rsidP="001878FA">
            <w:pPr>
              <w:pStyle w:val="Bulletpoint"/>
            </w:pPr>
            <w:r w:rsidRPr="00DA01B6">
              <w:t>Water Charge (Infrastructure) Rules</w:t>
            </w:r>
          </w:p>
          <w:p w:rsidR="00F90601" w:rsidRPr="00DA01B6" w:rsidRDefault="00F90601" w:rsidP="001878FA">
            <w:pPr>
              <w:pStyle w:val="Bulletpoint"/>
            </w:pPr>
            <w:r w:rsidRPr="00DA01B6">
              <w:t>Water Charge (Planning and Management Information) Rules</w:t>
            </w:r>
          </w:p>
          <w:p w:rsidR="00F90601" w:rsidRPr="00DA01B6" w:rsidRDefault="00F90601" w:rsidP="001878FA">
            <w:pPr>
              <w:pStyle w:val="Bulletpoint"/>
            </w:pPr>
            <w:r w:rsidRPr="00DA01B6">
              <w:t>Water Charge (Termination Fees) Rules</w:t>
            </w:r>
          </w:p>
          <w:p w:rsidR="00F90601" w:rsidRPr="00DA01B6" w:rsidRDefault="00F90601" w:rsidP="00B80C94">
            <w:r w:rsidRPr="00DA01B6">
              <w:t>See s. 91 of the Act for a full definition</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lastRenderedPageBreak/>
              <w:t>termination</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when a person terminates or surrenders the whole or part of a right of access to the IIO</w:t>
            </w:r>
            <w:r>
              <w:t>’</w:t>
            </w:r>
            <w:r w:rsidRPr="00DA01B6">
              <w:t>s network, typically by terminating water delivery right</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termination fee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 fee that may be imposed by an IIO when an irrigator terminates</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the Act</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 xml:space="preserve">the </w:t>
            </w:r>
            <w:r w:rsidRPr="00DA01B6">
              <w:rPr>
                <w:rStyle w:val="Emphasis"/>
              </w:rPr>
              <w:t>Water Act 2007</w:t>
            </w:r>
            <w:r w:rsidRPr="00DA01B6">
              <w:t xml:space="preserve"> (Cth)</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total network access charge (TNAC)</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the amount on which the termination fee multiple is applied in order to calculate a maximum termination fee. The total network access charge is the sum of all amounts that would have been payable for access to an operator</w:t>
            </w:r>
            <w:r>
              <w:t>’</w:t>
            </w:r>
            <w:r w:rsidRPr="00DA01B6">
              <w:t>s irrigation network by an irrigator in respect of a full financial year if termination or surrender had not occurred, excluding:</w:t>
            </w:r>
          </w:p>
          <w:p w:rsidR="00F90601" w:rsidRPr="00DA01B6" w:rsidRDefault="00F90601" w:rsidP="0089726F">
            <w:pPr>
              <w:pStyle w:val="Bulletpoint"/>
            </w:pPr>
            <w:r w:rsidRPr="00DA01B6">
              <w:t>any amount calculated by reference to the amount of water actually delivered to the terminating irrigator (that is, variable irrigation network charges)</w:t>
            </w:r>
          </w:p>
          <w:p w:rsidR="00F90601" w:rsidRPr="00DA01B6" w:rsidRDefault="00F90601" w:rsidP="0089726F">
            <w:pPr>
              <w:pStyle w:val="Bulletpoint"/>
            </w:pPr>
            <w:r w:rsidRPr="00DA01B6">
              <w:t>any amount in respect of a service for the storage of water</w:t>
            </w:r>
          </w:p>
          <w:p w:rsidR="00F90601" w:rsidRPr="00DA01B6" w:rsidRDefault="00F90601" w:rsidP="0089726F">
            <w:pPr>
              <w:pStyle w:val="Bulletpoint"/>
            </w:pPr>
            <w:r w:rsidRPr="00DA01B6">
              <w:t>connection/disconnection fees</w:t>
            </w:r>
          </w:p>
          <w:p w:rsidR="00F90601" w:rsidRPr="00DA01B6" w:rsidRDefault="00F90601" w:rsidP="0089726F">
            <w:pPr>
              <w:pStyle w:val="Bulletpoint"/>
            </w:pPr>
            <w:r w:rsidRPr="00DA01B6">
              <w:t>any amount that exceeds the cost of providing irrigators with access to an operator</w:t>
            </w:r>
            <w:r>
              <w:t>’</w:t>
            </w:r>
            <w:r w:rsidRPr="00DA01B6">
              <w:t>s irrigation network</w:t>
            </w:r>
          </w:p>
          <w:p w:rsidR="00F90601" w:rsidRPr="00DA01B6" w:rsidRDefault="00F90601" w:rsidP="0089726F">
            <w:pPr>
              <w:pStyle w:val="Bulletpoint"/>
            </w:pPr>
            <w:r w:rsidRPr="00DA01B6">
              <w:t>fees under ACCC approved contracts</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tradeable water right</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means:</w:t>
            </w:r>
          </w:p>
          <w:p w:rsidR="00F90601" w:rsidRPr="00DA01B6" w:rsidRDefault="00F90601" w:rsidP="001878FA">
            <w:pPr>
              <w:pStyle w:val="ListLegal"/>
              <w:numPr>
                <w:ilvl w:val="0"/>
                <w:numId w:val="42"/>
              </w:numPr>
            </w:pPr>
            <w:r w:rsidRPr="00DA01B6">
              <w:t>water access rights</w:t>
            </w:r>
          </w:p>
          <w:p w:rsidR="00F90601" w:rsidRPr="00DA01B6" w:rsidRDefault="00F90601" w:rsidP="001878FA">
            <w:pPr>
              <w:pStyle w:val="ListLegal"/>
            </w:pPr>
            <w:r w:rsidRPr="00DA01B6">
              <w:t>water delivery rights</w:t>
            </w:r>
          </w:p>
          <w:p w:rsidR="00F90601" w:rsidRPr="00DA01B6" w:rsidRDefault="00F90601" w:rsidP="001878FA">
            <w:pPr>
              <w:pStyle w:val="ListLegal"/>
            </w:pPr>
            <w:r w:rsidRPr="00DA01B6">
              <w:t>irrigation rights</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transformation</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the process by which an irrigator permanently transforms their entitlement to water under an irrigation right against an IIO into a water access entitlement held by the irrigator (or anybody else other than the IIO), thereby reducing the volume (e.g. share component) of the operator</w:t>
            </w:r>
            <w:r>
              <w:t>’</w:t>
            </w:r>
            <w:r w:rsidRPr="00DA01B6">
              <w:t>s water access entitlement</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volumetric charge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 charge imposed based on the volume of a water right or physical amount of water. A fixed volumetric charge is a charge based on the volume of a water right held, while a variable volumetric charge is a charge based on the volume of the right that is utilised in a particular manner</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water access entitlement</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perpetual or ongoing entitlement, by or under a law of a state, to exclusive access to a share of the water resources of a water resource plan area</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lastRenderedPageBreak/>
              <w:t>water access entitlement trade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the change of ownership and/or location of a water access entitlement (including through the establishment of a tagging arrangement)</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water access right</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any right conferred by or under a law of a state to hold and/or take water from a water resource, and includes:</w:t>
            </w:r>
          </w:p>
          <w:p w:rsidR="00F90601" w:rsidRPr="00DA01B6" w:rsidRDefault="00F90601" w:rsidP="0089726F">
            <w:pPr>
              <w:pStyle w:val="Bulletpoint"/>
            </w:pPr>
            <w:r w:rsidRPr="00DA01B6">
              <w:t>stock and domestic rights</w:t>
            </w:r>
          </w:p>
          <w:p w:rsidR="00F90601" w:rsidRPr="00DA01B6" w:rsidRDefault="00F90601" w:rsidP="0089726F">
            <w:pPr>
              <w:pStyle w:val="Bulletpoint"/>
            </w:pPr>
            <w:r w:rsidRPr="00DA01B6">
              <w:t>riparian rights</w:t>
            </w:r>
          </w:p>
          <w:p w:rsidR="00F90601" w:rsidRPr="00DA01B6" w:rsidRDefault="00F90601" w:rsidP="0089726F">
            <w:pPr>
              <w:pStyle w:val="Bulletpoint"/>
            </w:pPr>
            <w:r w:rsidRPr="00DA01B6">
              <w:t>a water access entitlement</w:t>
            </w:r>
          </w:p>
          <w:p w:rsidR="00F90601" w:rsidRPr="00DA01B6" w:rsidRDefault="00F90601" w:rsidP="0089726F">
            <w:pPr>
              <w:pStyle w:val="Bulletpoint"/>
            </w:pPr>
            <w:r w:rsidRPr="00DA01B6">
              <w:t>a water allocation</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water allocation</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the specific volume of water allocated to water access entitlements in a given water accounting period</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water allocation trade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the change of ownership and/or location of a particular volume of water allocation</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watercourse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means a river, creek or other natural watercourse (whether modified or not) in which water is contained or flows (whether permanently or intermittently) and includes:</w:t>
            </w:r>
          </w:p>
          <w:p w:rsidR="00F90601" w:rsidRPr="00DA01B6" w:rsidRDefault="00F90601" w:rsidP="001878FA">
            <w:pPr>
              <w:pStyle w:val="ListLegal"/>
              <w:numPr>
                <w:ilvl w:val="0"/>
                <w:numId w:val="44"/>
              </w:numPr>
            </w:pPr>
            <w:r w:rsidRPr="00DA01B6">
              <w:t>a dam or reservoir that collects water flowing in a watercourse</w:t>
            </w:r>
          </w:p>
          <w:p w:rsidR="00F90601" w:rsidRPr="00DA01B6" w:rsidRDefault="00F90601" w:rsidP="001878FA">
            <w:pPr>
              <w:pStyle w:val="ListLegal"/>
            </w:pPr>
            <w:r w:rsidRPr="00DA01B6">
              <w:t>a lake or wetland through which water flows</w:t>
            </w:r>
          </w:p>
          <w:p w:rsidR="00F90601" w:rsidRPr="00DA01B6" w:rsidRDefault="00F90601" w:rsidP="001878FA">
            <w:pPr>
              <w:pStyle w:val="ListLegal"/>
            </w:pPr>
            <w:r w:rsidRPr="00DA01B6">
              <w:t>a channel into which the water of a watercourse has been diverted</w:t>
            </w:r>
          </w:p>
          <w:p w:rsidR="00F90601" w:rsidRPr="00DA01B6" w:rsidRDefault="00F90601" w:rsidP="001878FA">
            <w:pPr>
              <w:pStyle w:val="ListLegal"/>
            </w:pPr>
            <w:r w:rsidRPr="00DA01B6">
              <w:t>part of a watercourse</w:t>
            </w:r>
          </w:p>
          <w:p w:rsidR="00F90601" w:rsidRPr="00DA01B6" w:rsidRDefault="00F90601" w:rsidP="001878FA">
            <w:pPr>
              <w:pStyle w:val="ListLegal"/>
            </w:pPr>
            <w:r w:rsidRPr="00DA01B6">
              <w:t>an estuary through which water flows</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Water Charge (Infrastructure) Rules 2010 (WCIR)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water charge rules for fees and charges payable to an infrastructure operator for:</w:t>
            </w:r>
          </w:p>
          <w:p w:rsidR="00F90601" w:rsidRPr="00DA01B6" w:rsidRDefault="00F90601" w:rsidP="0089726F">
            <w:pPr>
              <w:pStyle w:val="Bulletpoint"/>
            </w:pPr>
            <w:r w:rsidRPr="00DA01B6">
              <w:t>bulk water charges</w:t>
            </w:r>
          </w:p>
          <w:p w:rsidR="00F90601" w:rsidRPr="00DA01B6" w:rsidRDefault="00F90601" w:rsidP="0089726F">
            <w:pPr>
              <w:pStyle w:val="Bulletpoint"/>
            </w:pPr>
            <w:r w:rsidRPr="00DA01B6">
              <w:t>access to the irrigation infrastructure operator</w:t>
            </w:r>
            <w:r>
              <w:t>’</w:t>
            </w:r>
            <w:r w:rsidRPr="00DA01B6">
              <w:t>s network or services provided in relation to that access</w:t>
            </w:r>
          </w:p>
          <w:p w:rsidR="00F90601" w:rsidRPr="00DA01B6" w:rsidRDefault="00F90601" w:rsidP="0089726F">
            <w:pPr>
              <w:pStyle w:val="Bulletpoint"/>
            </w:pPr>
            <w:r w:rsidRPr="00DA01B6">
              <w:t xml:space="preserve">matters specified in regulations made for the purposes of s. 91(1)(d) of the </w:t>
            </w:r>
            <w:r w:rsidRPr="00DA01B6">
              <w:rPr>
                <w:rStyle w:val="Emphasis"/>
              </w:rPr>
              <w:t>Water Act 2007</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Water Charge (Planning and Management Information) Rules 2010 (WCPMIR)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water charge rules relating to charges for water planning and water management activities in the Murray-Darling Basin and requiring the publication of information on the details of the charge and the process for determining the charge</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Water Charge (Termination Fees) Rules 2009 (WCTFR)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water charge rules for fees or charges payable to an IIO in relation to terminating access to an operator</w:t>
            </w:r>
            <w:r>
              <w:t>’</w:t>
            </w:r>
            <w:r w:rsidRPr="00DA01B6">
              <w:t>s irrigation network (or services relating to such termination), or surrendering a right to delivery of water through the operator</w:t>
            </w:r>
            <w:r>
              <w:t>’</w:t>
            </w:r>
            <w:r w:rsidRPr="00DA01B6">
              <w:t>s irrigation network</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lastRenderedPageBreak/>
              <w:t>water delivery right (WDR)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a right to have water delivered by an infrastructure operator—a water delivery right typically represents the holder</w:t>
            </w:r>
            <w:r>
              <w:t>’</w:t>
            </w:r>
            <w:r w:rsidRPr="00DA01B6">
              <w:t>s right of access to an irrigation network (there may also be a right to drainage), and can be terminated</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Water Market Rules 2009 (WMR)</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rules dealing with actions or omissions of an IIO that prevent or unreasonably delay transformation arrangements or trade of the resulting water access entitlement</w:t>
            </w:r>
          </w:p>
        </w:tc>
      </w:tr>
      <w:tr w:rsidR="00F90601" w:rsidRPr="00DA01B6" w:rsidTr="00DA47C0">
        <w:trPr>
          <w:cantSplit/>
          <w:trHeight w:val="60"/>
        </w:trPr>
        <w:tc>
          <w:tcPr>
            <w:tcW w:w="1469" w:type="pct"/>
            <w:tcBorders>
              <w:top w:val="nil"/>
              <w:left w:val="nil"/>
              <w:bottom w:val="nil"/>
              <w:right w:val="nil"/>
            </w:tcBorders>
            <w:tcMar>
              <w:top w:w="0" w:type="dxa"/>
              <w:left w:w="0" w:type="dxa"/>
              <w:bottom w:w="170" w:type="dxa"/>
              <w:right w:w="57" w:type="dxa"/>
            </w:tcMar>
          </w:tcPr>
          <w:p w:rsidR="00F90601" w:rsidRPr="00DA01B6" w:rsidRDefault="00F90601" w:rsidP="00F90601">
            <w:r w:rsidRPr="00DA01B6">
              <w:rPr>
                <w:rStyle w:val="Strong"/>
              </w:rPr>
              <w:t>water service infrastructure</w:t>
            </w:r>
          </w:p>
        </w:tc>
        <w:tc>
          <w:tcPr>
            <w:tcW w:w="3531" w:type="pct"/>
            <w:tcBorders>
              <w:top w:val="nil"/>
              <w:left w:val="nil"/>
              <w:bottom w:val="nil"/>
              <w:right w:val="nil"/>
            </w:tcBorders>
            <w:tcMar>
              <w:top w:w="0" w:type="dxa"/>
              <w:left w:w="0" w:type="dxa"/>
              <w:bottom w:w="170" w:type="dxa"/>
              <w:right w:w="0" w:type="dxa"/>
            </w:tcMar>
          </w:tcPr>
          <w:p w:rsidR="00F90601" w:rsidRPr="00DA01B6" w:rsidRDefault="00F90601" w:rsidP="00F90601">
            <w:r w:rsidRPr="00DA01B6">
              <w:t>infrastructure for one or more of the following purposes:</w:t>
            </w:r>
          </w:p>
          <w:p w:rsidR="00F90601" w:rsidRPr="00DA01B6" w:rsidRDefault="00F90601" w:rsidP="001878FA">
            <w:pPr>
              <w:pStyle w:val="ListLegal"/>
              <w:numPr>
                <w:ilvl w:val="0"/>
                <w:numId w:val="45"/>
              </w:numPr>
            </w:pPr>
            <w:r w:rsidRPr="00DA01B6">
              <w:t>the storage of water</w:t>
            </w:r>
          </w:p>
          <w:p w:rsidR="00F90601" w:rsidRPr="00DA01B6" w:rsidRDefault="00F90601" w:rsidP="001878FA">
            <w:pPr>
              <w:pStyle w:val="ListLegal"/>
            </w:pPr>
            <w:r w:rsidRPr="00DA01B6">
              <w:t>the delivery of water</w:t>
            </w:r>
          </w:p>
          <w:p w:rsidR="00F90601" w:rsidRPr="00DA01B6" w:rsidRDefault="00F90601" w:rsidP="001878FA">
            <w:pPr>
              <w:pStyle w:val="ListLegal"/>
            </w:pPr>
            <w:r w:rsidRPr="00DA01B6">
              <w:t>the drainage of water</w:t>
            </w:r>
          </w:p>
          <w:p w:rsidR="00F90601" w:rsidRPr="00DA01B6" w:rsidRDefault="00F90601" w:rsidP="00F90601">
            <w:r w:rsidRPr="00DA01B6">
              <w:t>for the purpose of providing a service to another person</w:t>
            </w:r>
          </w:p>
        </w:tc>
      </w:tr>
    </w:tbl>
    <w:p w:rsidR="00922641" w:rsidRPr="007773E5" w:rsidRDefault="00922641">
      <w:r>
        <w:br w:type="page"/>
      </w:r>
    </w:p>
    <w:p w:rsidR="004409E9" w:rsidRPr="00736EBA" w:rsidRDefault="004409E9" w:rsidP="00736EBA">
      <w:pPr>
        <w:pStyle w:val="Numbered1"/>
      </w:pPr>
      <w:bookmarkStart w:id="4" w:name="_Toc449692963"/>
      <w:bookmarkStart w:id="5" w:name="_Toc485303324"/>
      <w:r w:rsidRPr="00736EBA">
        <w:lastRenderedPageBreak/>
        <w:t>Reporting entities</w:t>
      </w:r>
      <w:bookmarkEnd w:id="4"/>
      <w:bookmarkEnd w:id="5"/>
    </w:p>
    <w:p w:rsidR="004409E9" w:rsidRDefault="004409E9" w:rsidP="00081B94">
      <w:r>
        <w:t xml:space="preserve">The table below lists all reporting entities and </w:t>
      </w:r>
      <w:r w:rsidR="00B2364F">
        <w:t xml:space="preserve">the </w:t>
      </w:r>
      <w:r>
        <w:t xml:space="preserve">request for information (RFI) formats </w:t>
      </w:r>
      <w:r w:rsidR="00B2364F">
        <w:t>provided to each entity</w:t>
      </w:r>
      <w:r>
        <w:t>.</w:t>
      </w:r>
    </w:p>
    <w:p w:rsidR="00646225" w:rsidRDefault="00646225" w:rsidP="00646225">
      <w:pPr>
        <w:pStyle w:val="Tabletitle"/>
      </w:pPr>
      <w:r>
        <w:t>Table 1.1: Reporting entities</w:t>
      </w:r>
    </w:p>
    <w:tbl>
      <w:tblPr>
        <w:tblStyle w:val="MediumGrid31"/>
        <w:tblW w:w="5049" w:type="pct"/>
        <w:tblLook w:val="0020" w:firstRow="1" w:lastRow="0" w:firstColumn="0" w:lastColumn="0" w:noHBand="0" w:noVBand="0"/>
      </w:tblPr>
      <w:tblGrid>
        <w:gridCol w:w="5967"/>
        <w:gridCol w:w="944"/>
        <w:gridCol w:w="859"/>
        <w:gridCol w:w="857"/>
        <w:gridCol w:w="706"/>
      </w:tblGrid>
      <w:tr w:rsidR="008A507A" w:rsidRPr="00A81A95" w:rsidTr="00BE257B">
        <w:trPr>
          <w:cnfStyle w:val="100000000000" w:firstRow="1" w:lastRow="0" w:firstColumn="0" w:lastColumn="0" w:oddVBand="0" w:evenVBand="0" w:oddHBand="0" w:evenHBand="0" w:firstRowFirstColumn="0" w:firstRowLastColumn="0" w:lastRowFirstColumn="0" w:lastRowLastColumn="0"/>
          <w:trHeight w:val="60"/>
        </w:trPr>
        <w:tc>
          <w:tcPr>
            <w:tcW w:w="3197" w:type="pct"/>
            <w:vMerge w:val="restart"/>
          </w:tcPr>
          <w:p w:rsidR="008A507A" w:rsidRPr="00152699" w:rsidRDefault="008A507A" w:rsidP="00BE257B">
            <w:pPr>
              <w:pStyle w:val="Tabletext"/>
            </w:pPr>
            <w:r w:rsidRPr="00152699">
              <w:t>Reporting entity</w:t>
            </w:r>
          </w:p>
        </w:tc>
        <w:tc>
          <w:tcPr>
            <w:tcW w:w="1803" w:type="pct"/>
            <w:gridSpan w:val="4"/>
          </w:tcPr>
          <w:p w:rsidR="008A507A" w:rsidRPr="00152699" w:rsidRDefault="008A507A" w:rsidP="00BE257B">
            <w:pPr>
              <w:pStyle w:val="Tabletext-centred"/>
            </w:pPr>
            <w:r w:rsidRPr="00152699">
              <w:t>Type of information request</w:t>
            </w:r>
            <w:r w:rsidRPr="00152699">
              <w:rPr>
                <w:rStyle w:val="FootnoteReference"/>
              </w:rPr>
              <w:footnoteReference w:id="1"/>
            </w:r>
          </w:p>
        </w:tc>
      </w:tr>
      <w:tr w:rsidR="008A507A" w:rsidRPr="00A81A95" w:rsidTr="00BE257B">
        <w:trPr>
          <w:trHeight w:val="60"/>
        </w:trPr>
        <w:tc>
          <w:tcPr>
            <w:tcW w:w="3197" w:type="pct"/>
            <w:vMerge/>
          </w:tcPr>
          <w:p w:rsidR="008A507A" w:rsidRPr="00152699" w:rsidRDefault="008A507A" w:rsidP="00BE257B">
            <w:pPr>
              <w:pStyle w:val="Tabletext"/>
            </w:pPr>
          </w:p>
        </w:tc>
        <w:tc>
          <w:tcPr>
            <w:tcW w:w="506" w:type="pct"/>
          </w:tcPr>
          <w:p w:rsidR="008A507A" w:rsidRPr="00152699" w:rsidRDefault="008A507A" w:rsidP="00BE257B">
            <w:pPr>
              <w:pStyle w:val="Tabletext-centred"/>
              <w:rPr>
                <w:rStyle w:val="Strong"/>
              </w:rPr>
            </w:pPr>
            <w:r>
              <w:rPr>
                <w:rStyle w:val="Strong"/>
              </w:rPr>
              <w:t>Small off-river IO</w:t>
            </w:r>
          </w:p>
        </w:tc>
        <w:tc>
          <w:tcPr>
            <w:tcW w:w="460" w:type="pct"/>
          </w:tcPr>
          <w:p w:rsidR="008A507A" w:rsidRPr="00152699" w:rsidRDefault="008A507A" w:rsidP="00BE257B">
            <w:pPr>
              <w:pStyle w:val="Tabletext-centred"/>
              <w:rPr>
                <w:rStyle w:val="Strong"/>
              </w:rPr>
            </w:pPr>
            <w:r w:rsidRPr="00152699">
              <w:rPr>
                <w:rStyle w:val="Strong"/>
              </w:rPr>
              <w:t>Off-river IO</w:t>
            </w:r>
          </w:p>
        </w:tc>
        <w:tc>
          <w:tcPr>
            <w:tcW w:w="459" w:type="pct"/>
          </w:tcPr>
          <w:p w:rsidR="008A507A" w:rsidRPr="00152699" w:rsidRDefault="008A507A" w:rsidP="00BE257B">
            <w:pPr>
              <w:pStyle w:val="Tabletext-centred"/>
              <w:rPr>
                <w:rStyle w:val="Strong"/>
              </w:rPr>
            </w:pPr>
            <w:r w:rsidRPr="00152699">
              <w:rPr>
                <w:rStyle w:val="Strong"/>
              </w:rPr>
              <w:t>On-river IO</w:t>
            </w:r>
          </w:p>
        </w:tc>
        <w:tc>
          <w:tcPr>
            <w:tcW w:w="378" w:type="pct"/>
          </w:tcPr>
          <w:p w:rsidR="008A507A" w:rsidRPr="00152699" w:rsidRDefault="008A507A" w:rsidP="00BE257B">
            <w:pPr>
              <w:pStyle w:val="Tabletext-centred"/>
              <w:rPr>
                <w:rStyle w:val="Strong"/>
              </w:rPr>
            </w:pPr>
            <w:r w:rsidRPr="00152699">
              <w:rPr>
                <w:rStyle w:val="Strong"/>
              </w:rPr>
              <w:t>WPM</w:t>
            </w:r>
          </w:p>
        </w:tc>
      </w:tr>
      <w:tr w:rsidR="008A507A" w:rsidRPr="00A81A95" w:rsidTr="00BE257B">
        <w:trPr>
          <w:trHeight w:val="60"/>
        </w:trPr>
        <w:tc>
          <w:tcPr>
            <w:tcW w:w="3197" w:type="pct"/>
          </w:tcPr>
          <w:p w:rsidR="008A507A" w:rsidRPr="00152699" w:rsidRDefault="008A507A" w:rsidP="00BE257B">
            <w:pPr>
              <w:pStyle w:val="Tabletext"/>
            </w:pPr>
            <w:r w:rsidRPr="00152699">
              <w:t xml:space="preserve">Buddah Lake Irrigators’ Association (NSW): </w:t>
            </w:r>
            <w:r w:rsidRPr="00F97C50">
              <w:rPr>
                <w:rStyle w:val="Strong"/>
              </w:rPr>
              <w:t>Buddah Lake</w:t>
            </w:r>
          </w:p>
        </w:tc>
        <w:tc>
          <w:tcPr>
            <w:tcW w:w="506" w:type="pct"/>
          </w:tcPr>
          <w:p w:rsidR="008A507A" w:rsidRDefault="008A507A" w:rsidP="00BE257B">
            <w:pPr>
              <w:pStyle w:val="Tabletext-centred"/>
              <w:rPr>
                <w:rStyle w:val="Wingdingstick"/>
              </w:rPr>
            </w:pPr>
          </w:p>
        </w:tc>
        <w:tc>
          <w:tcPr>
            <w:tcW w:w="460" w:type="pct"/>
            <w:shd w:val="clear" w:color="auto" w:fill="F2F2F2" w:themeFill="background1" w:themeFillShade="F2"/>
          </w:tcPr>
          <w:p w:rsidR="008A507A" w:rsidRPr="00152699" w:rsidRDefault="008A507A" w:rsidP="00BE257B">
            <w:pPr>
              <w:pStyle w:val="Tabletext-centred"/>
            </w:pPr>
            <w:r>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Central Irrigation Trust (SA): </w:t>
            </w:r>
            <w:r w:rsidRPr="00F97C50">
              <w:rPr>
                <w:rStyle w:val="Strong"/>
              </w:rPr>
              <w:t>CIT</w:t>
            </w:r>
          </w:p>
        </w:tc>
        <w:tc>
          <w:tcPr>
            <w:tcW w:w="506" w:type="pct"/>
          </w:tcPr>
          <w:p w:rsidR="008A507A" w:rsidRDefault="008A507A" w:rsidP="00BE257B">
            <w:pPr>
              <w:pStyle w:val="Tabletext-centred"/>
              <w:rPr>
                <w:rStyle w:val="Wingdingstick"/>
              </w:rPr>
            </w:pPr>
          </w:p>
        </w:tc>
        <w:tc>
          <w:tcPr>
            <w:tcW w:w="460" w:type="pct"/>
            <w:shd w:val="clear" w:color="auto" w:fill="F2F2F2" w:themeFill="background1" w:themeFillShade="F2"/>
          </w:tcPr>
          <w:p w:rsidR="008A507A" w:rsidRPr="00152699" w:rsidRDefault="008A507A" w:rsidP="00BE257B">
            <w:pPr>
              <w:pStyle w:val="Tabletext-centred"/>
            </w:pPr>
            <w:r>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Coleambally Irrigation Co-operative Limited (NSW): </w:t>
            </w:r>
            <w:r w:rsidRPr="00F97C50">
              <w:rPr>
                <w:rStyle w:val="Strong"/>
              </w:rPr>
              <w:t>Coleambally</w:t>
            </w:r>
          </w:p>
        </w:tc>
        <w:tc>
          <w:tcPr>
            <w:tcW w:w="506" w:type="pct"/>
          </w:tcPr>
          <w:p w:rsidR="008A507A" w:rsidRDefault="008A507A" w:rsidP="00BE257B">
            <w:pPr>
              <w:pStyle w:val="Tabletext-centred"/>
              <w:rPr>
                <w:rStyle w:val="Wingdingstick"/>
              </w:rPr>
            </w:pPr>
          </w:p>
        </w:tc>
        <w:tc>
          <w:tcPr>
            <w:tcW w:w="460" w:type="pct"/>
            <w:shd w:val="clear" w:color="auto" w:fill="F2F2F2" w:themeFill="background1" w:themeFillShade="F2"/>
          </w:tcPr>
          <w:p w:rsidR="008A507A" w:rsidRPr="00152699" w:rsidRDefault="008A507A" w:rsidP="00BE257B">
            <w:pPr>
              <w:pStyle w:val="Tabletext-centred"/>
            </w:pPr>
            <w:r>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Department of Natural Resources and Mines (Qld): </w:t>
            </w:r>
            <w:r w:rsidRPr="00F97C50">
              <w:rPr>
                <w:rStyle w:val="Strong"/>
              </w:rPr>
              <w:t>DNRM</w:t>
            </w:r>
          </w:p>
        </w:tc>
        <w:tc>
          <w:tcPr>
            <w:tcW w:w="506" w:type="pct"/>
          </w:tcPr>
          <w:p w:rsidR="008A507A" w:rsidRPr="00152699" w:rsidRDefault="008A507A" w:rsidP="00BE257B">
            <w:pPr>
              <w:pStyle w:val="Tabletext-centred"/>
            </w:pPr>
          </w:p>
        </w:tc>
        <w:tc>
          <w:tcPr>
            <w:tcW w:w="460" w:type="pct"/>
          </w:tcPr>
          <w:p w:rsidR="008A507A" w:rsidRPr="00152699" w:rsidRDefault="008A507A" w:rsidP="00BE257B">
            <w:pPr>
              <w:pStyle w:val="Tabletext-centred"/>
            </w:pPr>
          </w:p>
        </w:tc>
        <w:tc>
          <w:tcPr>
            <w:tcW w:w="459" w:type="pct"/>
            <w:shd w:val="clear" w:color="auto" w:fill="F2F2F2" w:themeFill="background1" w:themeFillShade="F2"/>
          </w:tcPr>
          <w:p w:rsidR="008A507A" w:rsidRPr="00152699" w:rsidRDefault="008A507A" w:rsidP="00BE257B">
            <w:pPr>
              <w:pStyle w:val="Tabletext-centred"/>
            </w:pPr>
            <w:r>
              <w:rPr>
                <w:rStyle w:val="Wingdingstick"/>
              </w:rPr>
              <w:t></w:t>
            </w:r>
          </w:p>
        </w:tc>
        <w:tc>
          <w:tcPr>
            <w:tcW w:w="378" w:type="pct"/>
            <w:shd w:val="clear" w:color="auto" w:fill="F2F2F2" w:themeFill="background1" w:themeFillShade="F2"/>
          </w:tcPr>
          <w:p w:rsidR="008A507A" w:rsidRPr="00152699" w:rsidRDefault="008A507A" w:rsidP="00BE257B">
            <w:pPr>
              <w:pStyle w:val="Tabletext-centred"/>
            </w:pPr>
            <w:r>
              <w:rPr>
                <w:rStyle w:val="Wingdingstick"/>
              </w:rPr>
              <w:t></w:t>
            </w:r>
          </w:p>
        </w:tc>
      </w:tr>
      <w:tr w:rsidR="008A507A" w:rsidRPr="00A81A95" w:rsidTr="00BE257B">
        <w:trPr>
          <w:trHeight w:val="60"/>
        </w:trPr>
        <w:tc>
          <w:tcPr>
            <w:tcW w:w="3197" w:type="pct"/>
          </w:tcPr>
          <w:p w:rsidR="008A507A" w:rsidRPr="00152699" w:rsidRDefault="008A507A" w:rsidP="00BE257B">
            <w:pPr>
              <w:pStyle w:val="Tabletext"/>
            </w:pPr>
            <w:r w:rsidRPr="00152699">
              <w:t>Department of Environment, Land, Water and Planning (Vic)</w:t>
            </w:r>
            <w:r w:rsidRPr="00152699">
              <w:rPr>
                <w:rStyle w:val="FootnoteReference"/>
              </w:rPr>
              <w:footnoteReference w:id="2"/>
            </w:r>
            <w:r w:rsidRPr="00152699">
              <w:t xml:space="preserve">: </w:t>
            </w:r>
            <w:r w:rsidRPr="00F97C50">
              <w:rPr>
                <w:rStyle w:val="Strong"/>
              </w:rPr>
              <w:t>DELWP</w:t>
            </w:r>
          </w:p>
        </w:tc>
        <w:tc>
          <w:tcPr>
            <w:tcW w:w="506" w:type="pct"/>
          </w:tcPr>
          <w:p w:rsidR="008A507A" w:rsidRPr="00152699" w:rsidRDefault="008A507A" w:rsidP="00BE257B">
            <w:pPr>
              <w:pStyle w:val="Tabletext-centred"/>
            </w:pPr>
          </w:p>
        </w:tc>
        <w:tc>
          <w:tcPr>
            <w:tcW w:w="460" w:type="pct"/>
          </w:tcPr>
          <w:p w:rsidR="008A507A" w:rsidRPr="00152699" w:rsidRDefault="008A507A" w:rsidP="00BE257B">
            <w:pPr>
              <w:pStyle w:val="Tabletext-centred"/>
            </w:pPr>
          </w:p>
        </w:tc>
        <w:tc>
          <w:tcPr>
            <w:tcW w:w="459" w:type="pct"/>
          </w:tcPr>
          <w:p w:rsidR="008A507A" w:rsidRPr="00152699" w:rsidRDefault="008A507A" w:rsidP="00BE257B">
            <w:pPr>
              <w:pStyle w:val="Tabletext-centred"/>
            </w:pPr>
          </w:p>
        </w:tc>
        <w:tc>
          <w:tcPr>
            <w:tcW w:w="378" w:type="pct"/>
            <w:shd w:val="clear" w:color="auto" w:fill="F2F2F2" w:themeFill="background1" w:themeFillShade="F2"/>
          </w:tcPr>
          <w:p w:rsidR="008A507A" w:rsidRPr="00152699" w:rsidRDefault="008A507A" w:rsidP="00BE257B">
            <w:pPr>
              <w:pStyle w:val="Tabletext-centred"/>
            </w:pPr>
            <w:r>
              <w:rPr>
                <w:rStyle w:val="Wingdingstick"/>
              </w:rPr>
              <w:t></w:t>
            </w:r>
          </w:p>
        </w:tc>
      </w:tr>
      <w:tr w:rsidR="008A507A" w:rsidRPr="00A81A95" w:rsidTr="00BE257B">
        <w:trPr>
          <w:trHeight w:val="60"/>
        </w:trPr>
        <w:tc>
          <w:tcPr>
            <w:tcW w:w="3197" w:type="pct"/>
          </w:tcPr>
          <w:p w:rsidR="008A507A" w:rsidRPr="00152699" w:rsidRDefault="008A507A" w:rsidP="00BE257B">
            <w:pPr>
              <w:pStyle w:val="Tabletext"/>
            </w:pPr>
            <w:r w:rsidRPr="00152699">
              <w:t xml:space="preserve">Department of Environment, Water &amp; Natural Resources (SA): </w:t>
            </w:r>
            <w:r w:rsidRPr="00F97C50">
              <w:rPr>
                <w:rStyle w:val="Strong"/>
              </w:rPr>
              <w:t>DEWNR</w:t>
            </w:r>
          </w:p>
        </w:tc>
        <w:tc>
          <w:tcPr>
            <w:tcW w:w="506" w:type="pct"/>
          </w:tcPr>
          <w:p w:rsidR="008A507A" w:rsidRPr="00152699" w:rsidRDefault="008A507A" w:rsidP="00BE257B">
            <w:pPr>
              <w:pStyle w:val="Tabletext-centred"/>
            </w:pPr>
          </w:p>
        </w:tc>
        <w:tc>
          <w:tcPr>
            <w:tcW w:w="460" w:type="pct"/>
          </w:tcPr>
          <w:p w:rsidR="008A507A" w:rsidRPr="00152699" w:rsidRDefault="008A507A" w:rsidP="00BE257B">
            <w:pPr>
              <w:pStyle w:val="Tabletext-centred"/>
            </w:pPr>
          </w:p>
        </w:tc>
        <w:tc>
          <w:tcPr>
            <w:tcW w:w="459" w:type="pct"/>
          </w:tcPr>
          <w:p w:rsidR="008A507A" w:rsidRPr="00152699" w:rsidRDefault="008A507A" w:rsidP="00BE257B">
            <w:pPr>
              <w:pStyle w:val="Tabletext-centred"/>
            </w:pPr>
          </w:p>
        </w:tc>
        <w:tc>
          <w:tcPr>
            <w:tcW w:w="378" w:type="pct"/>
            <w:shd w:val="clear" w:color="auto" w:fill="F2F2F2" w:themeFill="background1" w:themeFillShade="F2"/>
          </w:tcPr>
          <w:p w:rsidR="008A507A" w:rsidRPr="00152699" w:rsidRDefault="008A507A" w:rsidP="00BE257B">
            <w:pPr>
              <w:pStyle w:val="Tabletext-centred"/>
            </w:pPr>
            <w:r>
              <w:rPr>
                <w:rStyle w:val="Wingdingstick"/>
              </w:rPr>
              <w:t></w:t>
            </w:r>
          </w:p>
        </w:tc>
      </w:tr>
      <w:tr w:rsidR="008A507A" w:rsidRPr="00A81A95" w:rsidTr="00BE257B">
        <w:trPr>
          <w:trHeight w:val="60"/>
        </w:trPr>
        <w:tc>
          <w:tcPr>
            <w:tcW w:w="3197" w:type="pct"/>
          </w:tcPr>
          <w:p w:rsidR="008A507A" w:rsidRPr="00152699" w:rsidRDefault="008A507A" w:rsidP="00BE257B">
            <w:pPr>
              <w:pStyle w:val="Tabletext"/>
            </w:pPr>
            <w:r w:rsidRPr="00152699">
              <w:t xml:space="preserve">Department of Primary Industries—Water (NSW): </w:t>
            </w:r>
            <w:r w:rsidRPr="00F97C50">
              <w:rPr>
                <w:rStyle w:val="Strong"/>
              </w:rPr>
              <w:t>DPI Water</w:t>
            </w:r>
            <w:r w:rsidRPr="00152699">
              <w:rPr>
                <w:rStyle w:val="FootnoteReference"/>
              </w:rPr>
              <w:footnoteReference w:id="3"/>
            </w:r>
          </w:p>
        </w:tc>
        <w:tc>
          <w:tcPr>
            <w:tcW w:w="506" w:type="pct"/>
          </w:tcPr>
          <w:p w:rsidR="008A507A" w:rsidRPr="00152699" w:rsidRDefault="008A507A" w:rsidP="00BE257B">
            <w:pPr>
              <w:pStyle w:val="Tabletext-centred"/>
            </w:pPr>
          </w:p>
        </w:tc>
        <w:tc>
          <w:tcPr>
            <w:tcW w:w="460" w:type="pct"/>
          </w:tcPr>
          <w:p w:rsidR="008A507A" w:rsidRPr="00152699" w:rsidRDefault="008A507A" w:rsidP="00BE257B">
            <w:pPr>
              <w:pStyle w:val="Tabletext-centred"/>
            </w:pPr>
          </w:p>
        </w:tc>
        <w:tc>
          <w:tcPr>
            <w:tcW w:w="459" w:type="pct"/>
          </w:tcPr>
          <w:p w:rsidR="008A507A" w:rsidRPr="00152699" w:rsidRDefault="008A507A" w:rsidP="00BE257B">
            <w:pPr>
              <w:pStyle w:val="Tabletext-centred"/>
            </w:pPr>
          </w:p>
        </w:tc>
        <w:tc>
          <w:tcPr>
            <w:tcW w:w="378" w:type="pct"/>
            <w:shd w:val="clear" w:color="auto" w:fill="F2F2F2" w:themeFill="background1" w:themeFillShade="F2"/>
          </w:tcPr>
          <w:p w:rsidR="008A507A" w:rsidRPr="00152699" w:rsidRDefault="008A507A" w:rsidP="00BE257B">
            <w:pPr>
              <w:pStyle w:val="Tabletext-centred"/>
            </w:pPr>
            <w:r>
              <w:rPr>
                <w:rStyle w:val="Wingdingstick"/>
              </w:rPr>
              <w:t></w:t>
            </w:r>
          </w:p>
        </w:tc>
      </w:tr>
      <w:tr w:rsidR="008A507A" w:rsidRPr="00A81A95" w:rsidTr="00BE257B">
        <w:trPr>
          <w:trHeight w:val="60"/>
        </w:trPr>
        <w:tc>
          <w:tcPr>
            <w:tcW w:w="3197" w:type="pct"/>
          </w:tcPr>
          <w:p w:rsidR="008A507A" w:rsidRPr="00152699" w:rsidRDefault="008A507A" w:rsidP="00BE257B">
            <w:pPr>
              <w:pStyle w:val="Tabletext"/>
            </w:pPr>
            <w:r w:rsidRPr="00152699">
              <w:t xml:space="preserve">Eagle Creek Pumping Syndicate (NSW): </w:t>
            </w:r>
            <w:r w:rsidRPr="00F97C50">
              <w:rPr>
                <w:rStyle w:val="Strong"/>
              </w:rPr>
              <w:t>Eagle Creek</w:t>
            </w:r>
          </w:p>
        </w:tc>
        <w:tc>
          <w:tcPr>
            <w:tcW w:w="506" w:type="pct"/>
          </w:tcPr>
          <w:p w:rsidR="008A507A" w:rsidRDefault="008A507A" w:rsidP="00BE257B">
            <w:pPr>
              <w:pStyle w:val="Tabletext-centred"/>
              <w:rPr>
                <w:rStyle w:val="Wingdingstick"/>
              </w:rPr>
            </w:pPr>
          </w:p>
        </w:tc>
        <w:tc>
          <w:tcPr>
            <w:tcW w:w="460" w:type="pct"/>
            <w:shd w:val="clear" w:color="auto" w:fill="F2F2F2" w:themeFill="background1" w:themeFillShade="F2"/>
          </w:tcPr>
          <w:p w:rsidR="008A507A" w:rsidRPr="00152699" w:rsidRDefault="008A507A" w:rsidP="00BE257B">
            <w:pPr>
              <w:pStyle w:val="Tabletext-centred"/>
            </w:pPr>
            <w:r>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Environment</w:t>
            </w:r>
            <w:r w:rsidR="0063589F">
              <w:t xml:space="preserve">, </w:t>
            </w:r>
            <w:r w:rsidRPr="00152699">
              <w:t xml:space="preserve">Planning </w:t>
            </w:r>
            <w:r w:rsidR="0063589F">
              <w:t xml:space="preserve">and Sustainable Development </w:t>
            </w:r>
            <w:r w:rsidRPr="00152699">
              <w:t xml:space="preserve">Directorate (ACT): </w:t>
            </w:r>
            <w:r w:rsidR="005B593C">
              <w:rPr>
                <w:rStyle w:val="Strong"/>
              </w:rPr>
              <w:t>EPSDD</w:t>
            </w:r>
            <w:r w:rsidRPr="00152699">
              <w:rPr>
                <w:rStyle w:val="FootnoteReference"/>
              </w:rPr>
              <w:footnoteReference w:id="4"/>
            </w:r>
          </w:p>
        </w:tc>
        <w:tc>
          <w:tcPr>
            <w:tcW w:w="506" w:type="pct"/>
          </w:tcPr>
          <w:p w:rsidR="008A507A" w:rsidRPr="00152699" w:rsidRDefault="008A507A" w:rsidP="00BE257B">
            <w:pPr>
              <w:pStyle w:val="Tabletext-centred"/>
            </w:pPr>
          </w:p>
        </w:tc>
        <w:tc>
          <w:tcPr>
            <w:tcW w:w="460" w:type="pct"/>
          </w:tcPr>
          <w:p w:rsidR="008A507A" w:rsidRPr="00152699" w:rsidRDefault="008A507A" w:rsidP="00BE257B">
            <w:pPr>
              <w:pStyle w:val="Tabletext-centred"/>
            </w:pPr>
          </w:p>
        </w:tc>
        <w:tc>
          <w:tcPr>
            <w:tcW w:w="459" w:type="pct"/>
          </w:tcPr>
          <w:p w:rsidR="008A507A" w:rsidRPr="00152699" w:rsidRDefault="008A507A" w:rsidP="00BE257B">
            <w:pPr>
              <w:pStyle w:val="Tabletext-centred"/>
            </w:pPr>
          </w:p>
        </w:tc>
        <w:tc>
          <w:tcPr>
            <w:tcW w:w="378" w:type="pct"/>
            <w:shd w:val="clear" w:color="auto" w:fill="F2F2F2" w:themeFill="background1" w:themeFillShade="F2"/>
          </w:tcPr>
          <w:p w:rsidR="008A507A" w:rsidRPr="00152699" w:rsidRDefault="008A507A" w:rsidP="00BE257B">
            <w:pPr>
              <w:pStyle w:val="Tabletext-centred"/>
            </w:pPr>
            <w:r>
              <w:rPr>
                <w:rStyle w:val="Wingdingstick"/>
              </w:rPr>
              <w:t></w:t>
            </w:r>
          </w:p>
        </w:tc>
      </w:tr>
      <w:tr w:rsidR="008A507A" w:rsidRPr="00A81A95" w:rsidTr="00BE257B">
        <w:trPr>
          <w:trHeight w:val="60"/>
        </w:trPr>
        <w:tc>
          <w:tcPr>
            <w:tcW w:w="3197" w:type="pct"/>
          </w:tcPr>
          <w:p w:rsidR="008A507A" w:rsidRPr="00152699" w:rsidRDefault="008A507A" w:rsidP="00BE257B">
            <w:pPr>
              <w:pStyle w:val="Tabletext"/>
            </w:pPr>
            <w:r w:rsidRPr="00152699">
              <w:t xml:space="preserve">Goulburn-Murray Water (Vic): </w:t>
            </w:r>
            <w:r w:rsidRPr="00F97C50">
              <w:rPr>
                <w:rStyle w:val="Strong"/>
              </w:rPr>
              <w:t>GMW</w:t>
            </w:r>
          </w:p>
        </w:tc>
        <w:tc>
          <w:tcPr>
            <w:tcW w:w="506" w:type="pct"/>
          </w:tcPr>
          <w:p w:rsidR="008A507A" w:rsidRDefault="008A507A" w:rsidP="00BE257B">
            <w:pPr>
              <w:pStyle w:val="Tabletext-centred"/>
              <w:rPr>
                <w:rStyle w:val="Wingdingstick"/>
              </w:rPr>
            </w:pPr>
          </w:p>
        </w:tc>
        <w:tc>
          <w:tcPr>
            <w:tcW w:w="460" w:type="pct"/>
            <w:shd w:val="clear" w:color="auto" w:fill="F2F2F2" w:themeFill="background1" w:themeFillShade="F2"/>
          </w:tcPr>
          <w:p w:rsidR="008A507A" w:rsidRPr="00152699" w:rsidRDefault="008A507A" w:rsidP="00BE257B">
            <w:pPr>
              <w:pStyle w:val="Tabletext-centred"/>
            </w:pPr>
            <w:r>
              <w:rPr>
                <w:rStyle w:val="Wingdingstick"/>
              </w:rPr>
              <w:t></w:t>
            </w:r>
          </w:p>
        </w:tc>
        <w:tc>
          <w:tcPr>
            <w:tcW w:w="459" w:type="pct"/>
            <w:shd w:val="clear" w:color="auto" w:fill="F2F2F2" w:themeFill="background1" w:themeFillShade="F2"/>
          </w:tcPr>
          <w:p w:rsidR="008A507A" w:rsidRPr="00152699" w:rsidRDefault="008A507A" w:rsidP="00BE257B">
            <w:pPr>
              <w:pStyle w:val="Tabletext-centred"/>
            </w:pPr>
            <w:r>
              <w:rPr>
                <w:rStyle w:val="Wingdingstick"/>
              </w:rPr>
              <w:t></w:t>
            </w:r>
          </w:p>
        </w:tc>
        <w:tc>
          <w:tcPr>
            <w:tcW w:w="378" w:type="pct"/>
            <w:shd w:val="clear" w:color="auto" w:fill="F2F2F2" w:themeFill="background1" w:themeFillShade="F2"/>
          </w:tcPr>
          <w:p w:rsidR="008A507A" w:rsidRPr="00152699" w:rsidRDefault="008A507A" w:rsidP="00BE257B">
            <w:pPr>
              <w:pStyle w:val="Tabletext-centred"/>
            </w:pPr>
            <w:r>
              <w:rPr>
                <w:rStyle w:val="Wingdingstick"/>
              </w:rPr>
              <w:t></w:t>
            </w:r>
          </w:p>
        </w:tc>
      </w:tr>
      <w:tr w:rsidR="008A507A" w:rsidRPr="00A81A95" w:rsidTr="00BE257B">
        <w:trPr>
          <w:trHeight w:val="60"/>
        </w:trPr>
        <w:tc>
          <w:tcPr>
            <w:tcW w:w="3197" w:type="pct"/>
          </w:tcPr>
          <w:p w:rsidR="008A507A" w:rsidRPr="00152699" w:rsidRDefault="008A507A" w:rsidP="00BE257B">
            <w:pPr>
              <w:pStyle w:val="Tabletext"/>
            </w:pPr>
            <w:r w:rsidRPr="00152699">
              <w:t xml:space="preserve">Grampians Wimmera Mallee Water (Vic): </w:t>
            </w:r>
            <w:r w:rsidRPr="00F97C50">
              <w:rPr>
                <w:rStyle w:val="Strong"/>
              </w:rPr>
              <w:t>GWMW</w:t>
            </w:r>
          </w:p>
        </w:tc>
        <w:tc>
          <w:tcPr>
            <w:tcW w:w="506" w:type="pct"/>
          </w:tcPr>
          <w:p w:rsidR="008A507A" w:rsidRPr="00152699" w:rsidRDefault="008A507A" w:rsidP="00BE257B">
            <w:pPr>
              <w:pStyle w:val="Tabletext-centred"/>
            </w:pPr>
          </w:p>
        </w:tc>
        <w:tc>
          <w:tcPr>
            <w:tcW w:w="460" w:type="pct"/>
          </w:tcPr>
          <w:p w:rsidR="008A507A" w:rsidRPr="00152699" w:rsidRDefault="008A507A" w:rsidP="00BE257B">
            <w:pPr>
              <w:pStyle w:val="Tabletext-centred"/>
            </w:pPr>
          </w:p>
        </w:tc>
        <w:tc>
          <w:tcPr>
            <w:tcW w:w="459" w:type="pct"/>
            <w:shd w:val="clear" w:color="auto" w:fill="F2F2F2" w:themeFill="background1" w:themeFillShade="F2"/>
          </w:tcPr>
          <w:p w:rsidR="008A507A" w:rsidRPr="00152699" w:rsidRDefault="008A507A" w:rsidP="00BE257B">
            <w:pPr>
              <w:pStyle w:val="Tabletext-centred"/>
            </w:pPr>
            <w:r>
              <w:rPr>
                <w:rStyle w:val="Wingdingstick"/>
              </w:rPr>
              <w:t></w:t>
            </w:r>
          </w:p>
        </w:tc>
        <w:tc>
          <w:tcPr>
            <w:tcW w:w="378" w:type="pct"/>
            <w:shd w:val="clear" w:color="auto" w:fill="F2F2F2" w:themeFill="background1" w:themeFillShade="F2"/>
          </w:tcPr>
          <w:p w:rsidR="008A507A" w:rsidRPr="00152699" w:rsidRDefault="008A507A" w:rsidP="00BE257B">
            <w:pPr>
              <w:pStyle w:val="Tabletext-centred"/>
            </w:pPr>
            <w:r>
              <w:rPr>
                <w:rStyle w:val="Wingdingstick"/>
              </w:rPr>
              <w:t></w:t>
            </w:r>
          </w:p>
        </w:tc>
      </w:tr>
      <w:tr w:rsidR="008A507A" w:rsidRPr="00A81A95" w:rsidTr="00BE257B">
        <w:trPr>
          <w:trHeight w:val="60"/>
        </w:trPr>
        <w:tc>
          <w:tcPr>
            <w:tcW w:w="3197" w:type="pct"/>
          </w:tcPr>
          <w:p w:rsidR="008A507A" w:rsidRPr="00152699" w:rsidRDefault="008A507A" w:rsidP="00BE257B">
            <w:pPr>
              <w:pStyle w:val="Tabletext"/>
            </w:pPr>
            <w:r w:rsidRPr="00152699">
              <w:t xml:space="preserve">Hay Private Irrigation District (NSW): </w:t>
            </w:r>
            <w:r w:rsidRPr="00F97C50">
              <w:rPr>
                <w:rStyle w:val="Strong"/>
              </w:rPr>
              <w:t>Hay</w:t>
            </w:r>
          </w:p>
        </w:tc>
        <w:tc>
          <w:tcPr>
            <w:tcW w:w="506" w:type="pct"/>
          </w:tcPr>
          <w:p w:rsidR="008A507A" w:rsidRDefault="008A507A" w:rsidP="00BE257B">
            <w:pPr>
              <w:pStyle w:val="Tabletext-centred"/>
              <w:rPr>
                <w:rStyle w:val="Wingdingstick"/>
              </w:rPr>
            </w:pPr>
          </w:p>
        </w:tc>
        <w:tc>
          <w:tcPr>
            <w:tcW w:w="460" w:type="pct"/>
            <w:shd w:val="clear" w:color="auto" w:fill="F2F2F2" w:themeFill="background1" w:themeFillShade="F2"/>
          </w:tcPr>
          <w:p w:rsidR="008A507A" w:rsidRPr="00152699" w:rsidRDefault="008A507A" w:rsidP="00BE257B">
            <w:pPr>
              <w:pStyle w:val="Tabletext-centred"/>
            </w:pPr>
            <w:r>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Jemalong Irrigation Limited (NSW): </w:t>
            </w:r>
            <w:r w:rsidRPr="00F97C50">
              <w:rPr>
                <w:rStyle w:val="Strong"/>
              </w:rPr>
              <w:t>Jemalong</w:t>
            </w:r>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Default="008A507A" w:rsidP="00BE257B">
            <w:pPr>
              <w:pStyle w:val="Tabletext-centred"/>
            </w:pPr>
            <w:r w:rsidRPr="0012751E">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Lower Murray Water (Vic): </w:t>
            </w:r>
            <w:r w:rsidRPr="00F97C50">
              <w:rPr>
                <w:rStyle w:val="Strong"/>
              </w:rPr>
              <w:t>LMW</w:t>
            </w:r>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Default="008A507A" w:rsidP="00BE257B">
            <w:pPr>
              <w:pStyle w:val="Tabletext-centred"/>
            </w:pPr>
            <w:r w:rsidRPr="0012751E">
              <w:rPr>
                <w:rStyle w:val="Wingdingstick"/>
              </w:rPr>
              <w:t></w:t>
            </w:r>
          </w:p>
        </w:tc>
        <w:tc>
          <w:tcPr>
            <w:tcW w:w="459" w:type="pct"/>
            <w:shd w:val="clear" w:color="auto" w:fill="F2F2F2" w:themeFill="background1" w:themeFillShade="F2"/>
          </w:tcPr>
          <w:p w:rsidR="008A507A" w:rsidRPr="00152699" w:rsidRDefault="008A507A" w:rsidP="00BE257B">
            <w:pPr>
              <w:pStyle w:val="Tabletext-centred"/>
            </w:pPr>
            <w:r>
              <w:rPr>
                <w:rStyle w:val="Wingdingstick"/>
              </w:rPr>
              <w:t></w:t>
            </w:r>
          </w:p>
        </w:tc>
        <w:tc>
          <w:tcPr>
            <w:tcW w:w="378" w:type="pct"/>
            <w:shd w:val="clear" w:color="auto" w:fill="F2F2F2" w:themeFill="background1" w:themeFillShade="F2"/>
          </w:tcPr>
          <w:p w:rsidR="008A507A" w:rsidRPr="00152699" w:rsidRDefault="008A507A" w:rsidP="00BE257B">
            <w:pPr>
              <w:pStyle w:val="Tabletext-centred"/>
            </w:pPr>
            <w:r>
              <w:rPr>
                <w:rStyle w:val="Wingdingstick"/>
              </w:rPr>
              <w:t></w:t>
            </w:r>
          </w:p>
        </w:tc>
      </w:tr>
      <w:tr w:rsidR="008A507A" w:rsidRPr="00A81A95" w:rsidTr="00BE257B">
        <w:trPr>
          <w:trHeight w:val="60"/>
        </w:trPr>
        <w:tc>
          <w:tcPr>
            <w:tcW w:w="3197" w:type="pct"/>
          </w:tcPr>
          <w:p w:rsidR="008A507A" w:rsidRPr="00152699" w:rsidRDefault="008A507A" w:rsidP="00BE257B">
            <w:pPr>
              <w:pStyle w:val="Tabletext"/>
            </w:pPr>
            <w:r w:rsidRPr="00152699">
              <w:t xml:space="preserve">Marthaguy Irrigation Scheme (NSW): </w:t>
            </w:r>
            <w:r w:rsidRPr="00F97C50">
              <w:rPr>
                <w:rStyle w:val="Strong"/>
              </w:rPr>
              <w:t>Marthaguy</w:t>
            </w:r>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Default="008A507A" w:rsidP="00BE257B">
            <w:pPr>
              <w:pStyle w:val="Tabletext-centred"/>
            </w:pPr>
            <w:r w:rsidRPr="0012751E">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Moira Private Irrigation District (NSW): </w:t>
            </w:r>
            <w:r w:rsidRPr="00F97C50">
              <w:rPr>
                <w:rStyle w:val="Strong"/>
              </w:rPr>
              <w:t>Moira</w:t>
            </w:r>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Default="008A507A" w:rsidP="00BE257B">
            <w:pPr>
              <w:pStyle w:val="Tabletext-centred"/>
            </w:pPr>
            <w:r w:rsidRPr="0012751E">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Murray Irrigation Limited (NSW):</w:t>
            </w:r>
            <w:r w:rsidRPr="00F97C50">
              <w:rPr>
                <w:rStyle w:val="Strong"/>
              </w:rPr>
              <w:t xml:space="preserve"> MIL</w:t>
            </w:r>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Default="008A507A" w:rsidP="00BE257B">
            <w:pPr>
              <w:pStyle w:val="Tabletext-centred"/>
            </w:pPr>
            <w:r w:rsidRPr="0012751E">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Murrumbidgee Irrigation Limited (NSW): </w:t>
            </w:r>
            <w:r w:rsidRPr="00F97C50">
              <w:rPr>
                <w:rStyle w:val="Strong"/>
              </w:rPr>
              <w:t>MI</w:t>
            </w:r>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Default="008A507A" w:rsidP="00BE257B">
            <w:pPr>
              <w:pStyle w:val="Tabletext-centred"/>
            </w:pPr>
            <w:r w:rsidRPr="0012751E">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Narromine Irrigation Board of Management (NSW): </w:t>
            </w:r>
            <w:r w:rsidRPr="00F97C50">
              <w:rPr>
                <w:rStyle w:val="Strong"/>
              </w:rPr>
              <w:t>Narromine</w:t>
            </w:r>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Default="008A507A" w:rsidP="00BE257B">
            <w:pPr>
              <w:pStyle w:val="Tabletext-centred"/>
            </w:pPr>
            <w:r w:rsidRPr="0012751E">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Renmark Irrigation Trust (SA): </w:t>
            </w:r>
            <w:r w:rsidRPr="00F97C50">
              <w:rPr>
                <w:rStyle w:val="Strong"/>
              </w:rPr>
              <w:t>RIT</w:t>
            </w:r>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lastRenderedPageBreak/>
              <w:t>WaterNSW (NSW)</w:t>
            </w:r>
            <w:r w:rsidRPr="00684E46">
              <w:rPr>
                <w:rStyle w:val="FootnoteReference"/>
              </w:rPr>
              <w:footnoteReference w:id="5"/>
            </w:r>
            <w:r w:rsidRPr="00152699">
              <w:t xml:space="preserve">: </w:t>
            </w:r>
            <w:r w:rsidRPr="00F97C50">
              <w:rPr>
                <w:rStyle w:val="Strong"/>
              </w:rPr>
              <w:t>WaterNSW</w:t>
            </w:r>
          </w:p>
        </w:tc>
        <w:tc>
          <w:tcPr>
            <w:tcW w:w="506" w:type="pct"/>
          </w:tcPr>
          <w:p w:rsidR="008A507A" w:rsidRPr="00152699" w:rsidRDefault="008A507A" w:rsidP="00BE257B">
            <w:pPr>
              <w:pStyle w:val="Tabletext-centred"/>
            </w:pPr>
          </w:p>
        </w:tc>
        <w:tc>
          <w:tcPr>
            <w:tcW w:w="460" w:type="pct"/>
          </w:tcPr>
          <w:p w:rsidR="008A507A" w:rsidRPr="00152699" w:rsidRDefault="008A507A" w:rsidP="00BE257B">
            <w:pPr>
              <w:pStyle w:val="Tabletext-centred"/>
            </w:pPr>
          </w:p>
        </w:tc>
        <w:tc>
          <w:tcPr>
            <w:tcW w:w="459"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SunWater (Qld): </w:t>
            </w:r>
            <w:r w:rsidRPr="00F97C50">
              <w:rPr>
                <w:rStyle w:val="Strong"/>
              </w:rPr>
              <w:t>SunWater</w:t>
            </w:r>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459"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152699" w:rsidRDefault="008A507A" w:rsidP="00BE257B">
            <w:pPr>
              <w:pStyle w:val="Tabletext"/>
            </w:pPr>
            <w:r w:rsidRPr="00152699">
              <w:t xml:space="preserve">Tenandra Irrigation Scheme (NSW): </w:t>
            </w:r>
            <w:r w:rsidRPr="00F97C50">
              <w:rPr>
                <w:rStyle w:val="Strong"/>
              </w:rPr>
              <w:t>Tenandra</w:t>
            </w:r>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EC01D7" w:rsidRDefault="008A507A" w:rsidP="00BE257B">
            <w:pPr>
              <w:pStyle w:val="Tabletext"/>
            </w:pPr>
            <w:r w:rsidRPr="00EC01D7">
              <w:t>Bungunyah-Koraleigh</w:t>
            </w:r>
            <w:r>
              <w:t xml:space="preserve"> Irrigation Trust (NSW)</w:t>
            </w:r>
          </w:p>
        </w:tc>
        <w:tc>
          <w:tcPr>
            <w:tcW w:w="506"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460" w:type="pct"/>
          </w:tcPr>
          <w:p w:rsidR="008A507A" w:rsidRPr="0012751E" w:rsidRDefault="008A507A" w:rsidP="00BE257B">
            <w:pPr>
              <w:pStyle w:val="Tabletext-centred"/>
              <w:rPr>
                <w:rStyle w:val="Wingdingstick"/>
              </w:rPr>
            </w:pP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EC01D7" w:rsidRDefault="008A507A" w:rsidP="00BE257B">
            <w:pPr>
              <w:pStyle w:val="Tabletext"/>
            </w:pPr>
            <w:r w:rsidRPr="00EC01D7">
              <w:t>Bringan</w:t>
            </w:r>
            <w:r>
              <w:t xml:space="preserve"> Private Irrigation Trust (NSW)</w:t>
            </w:r>
          </w:p>
        </w:tc>
        <w:tc>
          <w:tcPr>
            <w:tcW w:w="506"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460" w:type="pct"/>
          </w:tcPr>
          <w:p w:rsidR="008A507A" w:rsidRPr="0012751E" w:rsidRDefault="008A507A" w:rsidP="00BE257B">
            <w:pPr>
              <w:pStyle w:val="Tabletext-centred"/>
              <w:rPr>
                <w:rStyle w:val="Wingdingstick"/>
              </w:rPr>
            </w:pP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EC01D7" w:rsidRDefault="008A507A" w:rsidP="00BE257B">
            <w:pPr>
              <w:pStyle w:val="Tabletext"/>
            </w:pPr>
            <w:r w:rsidRPr="00EC01D7">
              <w:t>Glenview</w:t>
            </w:r>
            <w:r>
              <w:t xml:space="preserve"> Private Irrigation Trust (NSW)</w:t>
            </w:r>
          </w:p>
        </w:tc>
        <w:tc>
          <w:tcPr>
            <w:tcW w:w="506"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460" w:type="pct"/>
          </w:tcPr>
          <w:p w:rsidR="008A507A" w:rsidRPr="0012751E" w:rsidRDefault="008A507A" w:rsidP="00BE257B">
            <w:pPr>
              <w:pStyle w:val="Tabletext-centred"/>
              <w:rPr>
                <w:rStyle w:val="Wingdingstick"/>
              </w:rPr>
            </w:pP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EC01D7" w:rsidRDefault="008A507A" w:rsidP="00BE257B">
            <w:pPr>
              <w:pStyle w:val="Tabletext"/>
            </w:pPr>
            <w:r w:rsidRPr="00EC01D7">
              <w:t>Goodnight</w:t>
            </w:r>
            <w:r>
              <w:t xml:space="preserve"> Private Irrigation Trust (NSW)</w:t>
            </w:r>
          </w:p>
        </w:tc>
        <w:tc>
          <w:tcPr>
            <w:tcW w:w="506"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460" w:type="pct"/>
          </w:tcPr>
          <w:p w:rsidR="008A507A" w:rsidRPr="0012751E" w:rsidRDefault="008A507A" w:rsidP="00BE257B">
            <w:pPr>
              <w:pStyle w:val="Tabletext-centred"/>
              <w:rPr>
                <w:rStyle w:val="Wingdingstick"/>
              </w:rPr>
            </w:pP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EC01D7" w:rsidRDefault="008A507A" w:rsidP="00BE257B">
            <w:pPr>
              <w:pStyle w:val="Tabletext"/>
            </w:pPr>
            <w:r w:rsidRPr="00EC01D7">
              <w:t>Pomona</w:t>
            </w:r>
            <w:r>
              <w:t xml:space="preserve"> Water (NSW)</w:t>
            </w:r>
          </w:p>
        </w:tc>
        <w:tc>
          <w:tcPr>
            <w:tcW w:w="506"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460" w:type="pct"/>
          </w:tcPr>
          <w:p w:rsidR="008A507A" w:rsidRPr="0012751E" w:rsidRDefault="008A507A" w:rsidP="00BE257B">
            <w:pPr>
              <w:pStyle w:val="Tabletext-centred"/>
              <w:rPr>
                <w:rStyle w:val="Wingdingstick"/>
              </w:rPr>
            </w:pP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EC01D7" w:rsidRDefault="008A507A" w:rsidP="00BE257B">
            <w:pPr>
              <w:pStyle w:val="Tabletext"/>
            </w:pPr>
            <w:r w:rsidRPr="00EC01D7">
              <w:t>West Cadell</w:t>
            </w:r>
            <w:r>
              <w:t xml:space="preserve"> Private Irrigation Trust (NSW)</w:t>
            </w:r>
          </w:p>
        </w:tc>
        <w:tc>
          <w:tcPr>
            <w:tcW w:w="506" w:type="pct"/>
            <w:shd w:val="clear" w:color="auto" w:fill="F2F2F2" w:themeFill="background1" w:themeFillShade="F2"/>
          </w:tcPr>
          <w:p w:rsidR="008A507A" w:rsidRPr="00152699" w:rsidRDefault="008A507A" w:rsidP="00BE257B">
            <w:pPr>
              <w:pStyle w:val="Tabletext-centred"/>
            </w:pPr>
            <w:r w:rsidRPr="0012751E">
              <w:rPr>
                <w:rStyle w:val="Wingdingstick"/>
              </w:rPr>
              <w:t></w:t>
            </w:r>
          </w:p>
        </w:tc>
        <w:tc>
          <w:tcPr>
            <w:tcW w:w="460" w:type="pct"/>
          </w:tcPr>
          <w:p w:rsidR="008A507A" w:rsidRPr="0012751E" w:rsidRDefault="008A507A" w:rsidP="00BE257B">
            <w:pPr>
              <w:pStyle w:val="Tabletext-centred"/>
              <w:rPr>
                <w:rStyle w:val="Wingdingstick"/>
              </w:rPr>
            </w:pPr>
          </w:p>
        </w:tc>
        <w:tc>
          <w:tcPr>
            <w:tcW w:w="459" w:type="pct"/>
          </w:tcPr>
          <w:p w:rsidR="008A507A" w:rsidRPr="00152699" w:rsidRDefault="008A507A" w:rsidP="00BE257B">
            <w:pPr>
              <w:pStyle w:val="Tabletext-centred"/>
            </w:pPr>
          </w:p>
        </w:tc>
        <w:tc>
          <w:tcPr>
            <w:tcW w:w="378" w:type="pct"/>
          </w:tcPr>
          <w:p w:rsidR="008A507A" w:rsidRPr="00152699" w:rsidRDefault="008A507A" w:rsidP="00BE257B">
            <w:pPr>
              <w:pStyle w:val="Tabletext-centred"/>
            </w:pPr>
          </w:p>
        </w:tc>
      </w:tr>
      <w:tr w:rsidR="008A507A" w:rsidRPr="00A81A95" w:rsidTr="00BE257B">
        <w:trPr>
          <w:trHeight w:val="60"/>
        </w:trPr>
        <w:tc>
          <w:tcPr>
            <w:tcW w:w="3197" w:type="pct"/>
          </w:tcPr>
          <w:p w:rsidR="008A507A" w:rsidRPr="00CD645C" w:rsidRDefault="008A507A" w:rsidP="00BE257B">
            <w:pPr>
              <w:pStyle w:val="Tabletext"/>
            </w:pPr>
            <w:r w:rsidRPr="00EC01D7">
              <w:t>Coliban</w:t>
            </w:r>
            <w:r w:rsidRPr="00CD645C">
              <w:t xml:space="preserve"> Water (Vic)</w:t>
            </w:r>
            <w:r w:rsidRPr="00A31864">
              <w:rPr>
                <w:rStyle w:val="FootnoteReference"/>
              </w:rPr>
              <w:t xml:space="preserve"> </w:t>
            </w:r>
            <w:bookmarkStart w:id="6" w:name="_Ref483914303"/>
            <w:r w:rsidR="00CD60F0">
              <w:rPr>
                <w:rStyle w:val="FootnoteReference"/>
              </w:rPr>
              <w:footnoteReference w:id="6"/>
            </w:r>
            <w:bookmarkEnd w:id="6"/>
          </w:p>
        </w:tc>
        <w:tc>
          <w:tcPr>
            <w:tcW w:w="506" w:type="pct"/>
          </w:tcPr>
          <w:p w:rsidR="008A507A" w:rsidRPr="0012751E" w:rsidRDefault="008A507A" w:rsidP="00BE257B">
            <w:pPr>
              <w:pStyle w:val="Tabletext-centred"/>
              <w:rPr>
                <w:rStyle w:val="Wingdingstick"/>
              </w:rPr>
            </w:pPr>
          </w:p>
        </w:tc>
        <w:tc>
          <w:tcPr>
            <w:tcW w:w="460" w:type="pct"/>
            <w:shd w:val="clear" w:color="auto" w:fill="F2F2F2" w:themeFill="background1" w:themeFillShade="F2"/>
          </w:tcPr>
          <w:p w:rsidR="008A507A" w:rsidRPr="0012751E" w:rsidRDefault="008A507A" w:rsidP="00BE257B">
            <w:pPr>
              <w:pStyle w:val="Tabletext-centred"/>
              <w:rPr>
                <w:rStyle w:val="Wingdingstick"/>
              </w:rPr>
            </w:pPr>
            <w:r w:rsidRPr="0012751E">
              <w:rPr>
                <w:rStyle w:val="Wingdingstick"/>
              </w:rPr>
              <w:t></w:t>
            </w:r>
          </w:p>
        </w:tc>
        <w:tc>
          <w:tcPr>
            <w:tcW w:w="459" w:type="pct"/>
          </w:tcPr>
          <w:p w:rsidR="008A507A" w:rsidRPr="00152699" w:rsidRDefault="008A507A" w:rsidP="00BE257B">
            <w:pPr>
              <w:pStyle w:val="Tabletext-centred"/>
            </w:pPr>
          </w:p>
        </w:tc>
        <w:tc>
          <w:tcPr>
            <w:tcW w:w="378" w:type="pct"/>
            <w:shd w:val="clear" w:color="auto" w:fill="F2F2F2" w:themeFill="background1" w:themeFillShade="F2"/>
          </w:tcPr>
          <w:p w:rsidR="008A507A" w:rsidRPr="00152699" w:rsidRDefault="008A507A" w:rsidP="00BE257B">
            <w:pPr>
              <w:pStyle w:val="Tabletext-centred"/>
            </w:pPr>
            <w:r w:rsidRPr="0012751E">
              <w:rPr>
                <w:rStyle w:val="Wingdingstick"/>
              </w:rPr>
              <w:t></w:t>
            </w:r>
          </w:p>
        </w:tc>
      </w:tr>
    </w:tbl>
    <w:p w:rsidR="00897AA5" w:rsidRPr="009715E3" w:rsidRDefault="00897AA5" w:rsidP="009715E3">
      <w:bookmarkStart w:id="7" w:name="_Toc418071308"/>
      <w:bookmarkStart w:id="8" w:name="_Toc449692964"/>
      <w:r>
        <w:br w:type="page"/>
      </w:r>
    </w:p>
    <w:p w:rsidR="00897AA5" w:rsidRPr="00736EBA" w:rsidRDefault="00897AA5" w:rsidP="00736EBA">
      <w:pPr>
        <w:pStyle w:val="Numbered1"/>
      </w:pPr>
      <w:bookmarkStart w:id="9" w:name="_Toc485303325"/>
      <w:r w:rsidRPr="00736EBA">
        <w:lastRenderedPageBreak/>
        <w:t>Water planning and management charges and cost</w:t>
      </w:r>
      <w:bookmarkEnd w:id="7"/>
      <w:bookmarkEnd w:id="8"/>
      <w:r w:rsidR="00B2364F">
        <w:t>s</w:t>
      </w:r>
      <w:bookmarkEnd w:id="9"/>
      <w:r w:rsidRPr="00736EBA">
        <w:t xml:space="preserve"> </w:t>
      </w:r>
    </w:p>
    <w:p w:rsidR="00897AA5" w:rsidRPr="00D00BB4" w:rsidRDefault="00897AA5" w:rsidP="00897AA5">
      <w:pPr>
        <w:rPr>
          <w:rStyle w:val="Strong"/>
        </w:rPr>
      </w:pPr>
      <w:r w:rsidRPr="00D00BB4">
        <w:rPr>
          <w:rStyle w:val="Strong"/>
        </w:rPr>
        <w:t xml:space="preserve">This section </w:t>
      </w:r>
      <w:r w:rsidR="00B2364F">
        <w:rPr>
          <w:rStyle w:val="Strong"/>
        </w:rPr>
        <w:t>relates</w:t>
      </w:r>
      <w:r w:rsidR="00B2364F" w:rsidRPr="00D00BB4">
        <w:rPr>
          <w:rStyle w:val="Strong"/>
        </w:rPr>
        <w:t xml:space="preserve"> </w:t>
      </w:r>
      <w:r w:rsidRPr="00D00BB4">
        <w:rPr>
          <w:rStyle w:val="Strong"/>
        </w:rPr>
        <w:t>to the analysis presented in chapter 3 (water planning and management (WPM)) of the Water Monitoring Report</w:t>
      </w:r>
      <w:r w:rsidR="00B2364F">
        <w:rPr>
          <w:rStyle w:val="Strong"/>
        </w:rPr>
        <w:t xml:space="preserve"> 2015−16</w:t>
      </w:r>
      <w:r w:rsidRPr="00D00BB4">
        <w:rPr>
          <w:rStyle w:val="Strong"/>
        </w:rPr>
        <w:t>.</w:t>
      </w:r>
    </w:p>
    <w:p w:rsidR="00897AA5" w:rsidRPr="00D00BB4" w:rsidRDefault="00897AA5" w:rsidP="00897AA5">
      <w:pPr>
        <w:rPr>
          <w:rStyle w:val="Strong"/>
        </w:rPr>
      </w:pPr>
      <w:r w:rsidRPr="00D00BB4">
        <w:rPr>
          <w:rStyle w:val="Strong"/>
        </w:rPr>
        <w:t xml:space="preserve">Basin State departments and water authorities undertake WPM activities. Charges to recover costs </w:t>
      </w:r>
      <w:r w:rsidR="00B2364F" w:rsidRPr="00D00BB4">
        <w:rPr>
          <w:rStyle w:val="Strong"/>
        </w:rPr>
        <w:t xml:space="preserve">associated </w:t>
      </w:r>
      <w:r w:rsidR="00B2364F">
        <w:rPr>
          <w:rStyle w:val="Strong"/>
        </w:rPr>
        <w:t>with</w:t>
      </w:r>
      <w:r w:rsidR="00760614">
        <w:rPr>
          <w:rStyle w:val="Strong"/>
        </w:rPr>
        <w:t xml:space="preserve"> </w:t>
      </w:r>
      <w:r w:rsidRPr="00D00BB4">
        <w:rPr>
          <w:rStyle w:val="Strong"/>
        </w:rPr>
        <w:t xml:space="preserve">these activities are imposed on water </w:t>
      </w:r>
      <w:r w:rsidR="009F05E8">
        <w:rPr>
          <w:rStyle w:val="Strong"/>
        </w:rPr>
        <w:t xml:space="preserve">users </w:t>
      </w:r>
      <w:r w:rsidRPr="00D00BB4">
        <w:rPr>
          <w:rStyle w:val="Strong"/>
        </w:rPr>
        <w:t xml:space="preserve">by Basin State departments and water authorities. </w:t>
      </w:r>
    </w:p>
    <w:p w:rsidR="00897AA5" w:rsidRPr="00D00BB4" w:rsidRDefault="00897AA5" w:rsidP="00897AA5">
      <w:pPr>
        <w:rPr>
          <w:rStyle w:val="Strong"/>
        </w:rPr>
      </w:pPr>
      <w:r w:rsidRPr="00D00BB4">
        <w:rPr>
          <w:rStyle w:val="Strong"/>
        </w:rPr>
        <w:t xml:space="preserve">This section sets out the assumptions and background information for chapter </w:t>
      </w:r>
      <w:r w:rsidR="00021933">
        <w:rPr>
          <w:rStyle w:val="Strong"/>
        </w:rPr>
        <w:t>3</w:t>
      </w:r>
      <w:r w:rsidR="002D2135" w:rsidRPr="00D00BB4">
        <w:rPr>
          <w:rStyle w:val="Strong"/>
        </w:rPr>
        <w:t xml:space="preserve"> </w:t>
      </w:r>
      <w:r w:rsidR="00021933">
        <w:rPr>
          <w:rStyle w:val="Strong"/>
        </w:rPr>
        <w:t xml:space="preserve">of the report </w:t>
      </w:r>
      <w:r w:rsidRPr="00D00BB4">
        <w:rPr>
          <w:rStyle w:val="Strong"/>
        </w:rPr>
        <w:t xml:space="preserve">and includes </w:t>
      </w:r>
      <w:r w:rsidR="00021933">
        <w:rPr>
          <w:rStyle w:val="Strong"/>
        </w:rPr>
        <w:t xml:space="preserve">for </w:t>
      </w:r>
      <w:r w:rsidR="001C3657">
        <w:rPr>
          <w:rStyle w:val="Strong"/>
        </w:rPr>
        <w:t>2015−16</w:t>
      </w:r>
      <w:r w:rsidRPr="00D00BB4">
        <w:rPr>
          <w:rStyle w:val="Strong"/>
        </w:rPr>
        <w:t>:</w:t>
      </w:r>
    </w:p>
    <w:p w:rsidR="00A21EB6" w:rsidRPr="00DA47C0" w:rsidRDefault="00A21EB6" w:rsidP="00DA47C0">
      <w:pPr>
        <w:pStyle w:val="Bulletpoint"/>
        <w:rPr>
          <w:rStyle w:val="Strong"/>
        </w:rPr>
      </w:pPr>
      <w:r w:rsidRPr="00DA47C0">
        <w:rPr>
          <w:rStyle w:val="Strong"/>
        </w:rPr>
        <w:t xml:space="preserve">the ACCC approach to monitoring WPM activities and regulated WPM charges of Basin States </w:t>
      </w:r>
    </w:p>
    <w:p w:rsidR="00A21EB6" w:rsidRPr="00DA47C0" w:rsidRDefault="00A21EB6" w:rsidP="00DA47C0">
      <w:pPr>
        <w:pStyle w:val="Bulletpoint"/>
        <w:rPr>
          <w:rStyle w:val="Strong"/>
        </w:rPr>
      </w:pPr>
      <w:r w:rsidRPr="00DA47C0">
        <w:rPr>
          <w:rStyle w:val="Strong"/>
        </w:rPr>
        <w:t xml:space="preserve">an explanation of which </w:t>
      </w:r>
      <w:r w:rsidR="009F05E8" w:rsidRPr="00DA47C0">
        <w:rPr>
          <w:rStyle w:val="Strong"/>
        </w:rPr>
        <w:t xml:space="preserve">entity </w:t>
      </w:r>
      <w:r w:rsidRPr="00DA47C0">
        <w:rPr>
          <w:rStyle w:val="Strong"/>
        </w:rPr>
        <w:t xml:space="preserve">is responsible for levying WPM charges in a Basin State and which </w:t>
      </w:r>
      <w:r w:rsidR="009F05E8" w:rsidRPr="00DA47C0">
        <w:rPr>
          <w:rStyle w:val="Strong"/>
        </w:rPr>
        <w:t xml:space="preserve">entities </w:t>
      </w:r>
      <w:r w:rsidRPr="00DA47C0">
        <w:rPr>
          <w:rStyle w:val="Strong"/>
        </w:rPr>
        <w:t xml:space="preserve">undertake WPM activities </w:t>
      </w:r>
    </w:p>
    <w:p w:rsidR="00A21EB6" w:rsidRPr="00DA47C0" w:rsidRDefault="00A21EB6" w:rsidP="00DA47C0">
      <w:pPr>
        <w:pStyle w:val="Bulletpoint"/>
        <w:rPr>
          <w:rStyle w:val="Strong"/>
        </w:rPr>
      </w:pPr>
      <w:r w:rsidRPr="00DA47C0">
        <w:rPr>
          <w:rStyle w:val="Strong"/>
        </w:rPr>
        <w:t xml:space="preserve">the WPM charges imposed by these </w:t>
      </w:r>
      <w:r w:rsidR="009F05E8" w:rsidRPr="00DA47C0">
        <w:rPr>
          <w:rStyle w:val="Strong"/>
        </w:rPr>
        <w:t>entities</w:t>
      </w:r>
      <w:r w:rsidRPr="00DA47C0">
        <w:rPr>
          <w:rStyle w:val="Strong"/>
        </w:rPr>
        <w:t>, including relevant schedules of charges</w:t>
      </w:r>
    </w:p>
    <w:p w:rsidR="00897AA5" w:rsidRPr="00DA47C0" w:rsidRDefault="00315836" w:rsidP="00DA47C0">
      <w:pPr>
        <w:pStyle w:val="Bulletpoint"/>
        <w:rPr>
          <w:rStyle w:val="Strong"/>
        </w:rPr>
      </w:pPr>
      <w:r w:rsidRPr="00DA47C0">
        <w:rPr>
          <w:rStyle w:val="Strong"/>
        </w:rPr>
        <w:t xml:space="preserve">the </w:t>
      </w:r>
      <w:r w:rsidR="00021933" w:rsidRPr="00DA47C0">
        <w:rPr>
          <w:rStyle w:val="Strong"/>
        </w:rPr>
        <w:t xml:space="preserve">approach of Basin State Departments and water authorities to the </w:t>
      </w:r>
      <w:r w:rsidR="00897AA5" w:rsidRPr="00DA47C0">
        <w:rPr>
          <w:rStyle w:val="Strong"/>
        </w:rPr>
        <w:t xml:space="preserve">reporting of WPM activities and </w:t>
      </w:r>
      <w:r w:rsidR="00021933" w:rsidRPr="00DA47C0">
        <w:rPr>
          <w:rStyle w:val="Strong"/>
        </w:rPr>
        <w:t xml:space="preserve">the </w:t>
      </w:r>
      <w:r w:rsidR="00897AA5" w:rsidRPr="00DA47C0">
        <w:rPr>
          <w:rStyle w:val="Strong"/>
        </w:rPr>
        <w:t xml:space="preserve">regulated WPM charges </w:t>
      </w:r>
      <w:r w:rsidR="00021933" w:rsidRPr="00DA47C0">
        <w:rPr>
          <w:rStyle w:val="Strong"/>
        </w:rPr>
        <w:t xml:space="preserve">that relate to those activities </w:t>
      </w:r>
      <w:r w:rsidR="00897AA5" w:rsidRPr="00DA47C0">
        <w:rPr>
          <w:rStyle w:val="Strong"/>
        </w:rPr>
        <w:t>in the Basin</w:t>
      </w:r>
      <w:r w:rsidR="00A21EB6" w:rsidRPr="00DA47C0">
        <w:rPr>
          <w:rStyle w:val="Strong"/>
        </w:rPr>
        <w:t>.</w:t>
      </w:r>
      <w:r w:rsidR="00897AA5" w:rsidRPr="00DA47C0">
        <w:rPr>
          <w:rStyle w:val="Strong"/>
        </w:rPr>
        <w:t xml:space="preserve"> </w:t>
      </w:r>
    </w:p>
    <w:p w:rsidR="0065619B" w:rsidRPr="00CE3EB9" w:rsidRDefault="0065619B" w:rsidP="00736EBA">
      <w:pPr>
        <w:pStyle w:val="Numbered11"/>
      </w:pPr>
      <w:bookmarkStart w:id="10" w:name="_Toc485303326"/>
      <w:r w:rsidRPr="00CE3EB9">
        <w:t>ACCC approach to monitoring WPM activities and charges</w:t>
      </w:r>
      <w:bookmarkEnd w:id="10"/>
    </w:p>
    <w:p w:rsidR="0065619B" w:rsidRDefault="0065619B" w:rsidP="0065619B">
      <w:r>
        <w:t>The ACCC</w:t>
      </w:r>
      <w:r w:rsidR="003D0789">
        <w:t xml:space="preserve"> </w:t>
      </w:r>
      <w:r>
        <w:t>s</w:t>
      </w:r>
      <w:r w:rsidR="003D0789">
        <w:t>ent its</w:t>
      </w:r>
      <w:r>
        <w:t xml:space="preserve"> </w:t>
      </w:r>
      <w:r w:rsidR="001C3657">
        <w:t>2015−16</w:t>
      </w:r>
      <w:r>
        <w:t xml:space="preserve"> request for information (RFI) to </w:t>
      </w:r>
      <w:r w:rsidR="00976038">
        <w:t>five</w:t>
      </w:r>
      <w:r>
        <w:t xml:space="preserve"> Basin State departments and </w:t>
      </w:r>
      <w:r w:rsidR="00B23D97">
        <w:t xml:space="preserve">four </w:t>
      </w:r>
      <w:r>
        <w:t>water authorities responsible for publishing information under the WCPMIR.</w:t>
      </w:r>
      <w:r w:rsidR="00583030" w:rsidRPr="00583030">
        <w:rPr>
          <w:rStyle w:val="FootnoteReference"/>
        </w:rPr>
        <w:t xml:space="preserve"> </w:t>
      </w:r>
    </w:p>
    <w:p w:rsidR="0065619B" w:rsidRDefault="0065619B" w:rsidP="0065619B">
      <w:r>
        <w:t xml:space="preserve">This RFI sought information on the </w:t>
      </w:r>
      <w:r w:rsidR="003D0789">
        <w:t xml:space="preserve">amount of </w:t>
      </w:r>
      <w:r w:rsidR="00B2364F">
        <w:t xml:space="preserve">regulated </w:t>
      </w:r>
      <w:r w:rsidR="003D0789">
        <w:t>WPM charges</w:t>
      </w:r>
      <w:r w:rsidR="008B194C">
        <w:t xml:space="preserve">: </w:t>
      </w:r>
      <w:r w:rsidR="003D0789">
        <w:t xml:space="preserve">the </w:t>
      </w:r>
      <w:r>
        <w:t xml:space="preserve">number of times </w:t>
      </w:r>
      <w:r w:rsidR="00C47A72">
        <w:t xml:space="preserve">these </w:t>
      </w:r>
      <w:r>
        <w:t>charges were imposed, which WPM activities were undertaken and the associated costs. To reduce the regulatory burden on reporting entities,</w:t>
      </w:r>
      <w:r w:rsidR="00B2364F">
        <w:t xml:space="preserve"> where possible</w:t>
      </w:r>
      <w:r>
        <w:t xml:space="preserve"> the ACCC collected information on WPM charges from information </w:t>
      </w:r>
      <w:r w:rsidR="00B2364F">
        <w:t xml:space="preserve">published by </w:t>
      </w:r>
      <w:r>
        <w:t>Basin State departments and water authorities.</w:t>
      </w:r>
    </w:p>
    <w:p w:rsidR="0065619B" w:rsidRDefault="0065619B" w:rsidP="0065619B">
      <w:r>
        <w:t xml:space="preserve">Information from the </w:t>
      </w:r>
      <w:r w:rsidR="001C3657">
        <w:t>2015−16</w:t>
      </w:r>
      <w:r>
        <w:t xml:space="preserve"> RFIs was used to report on the extent of cost recovery for WPM activities in the Murray-Darling Basin (MDB). The ACCC received the following information from the Basin State departments and water authorities: </w:t>
      </w:r>
    </w:p>
    <w:p w:rsidR="0065619B" w:rsidRPr="00F6221D" w:rsidRDefault="0065619B" w:rsidP="00DA47C0">
      <w:pPr>
        <w:pStyle w:val="Bulletpoint"/>
      </w:pPr>
      <w:r w:rsidRPr="00F6221D">
        <w:t xml:space="preserve">data on all WPM charges and the </w:t>
      </w:r>
      <w:r w:rsidR="00B23D97" w:rsidRPr="00F6221D">
        <w:t xml:space="preserve">quantity (either the number of times or the number of kL or ML) on which </w:t>
      </w:r>
      <w:r w:rsidRPr="00F6221D">
        <w:t>the charge was imposed</w:t>
      </w:r>
    </w:p>
    <w:p w:rsidR="0065619B" w:rsidRPr="00F6221D" w:rsidRDefault="0065619B" w:rsidP="00DA47C0">
      <w:pPr>
        <w:pStyle w:val="Bulletpoint"/>
      </w:pPr>
      <w:r w:rsidRPr="00F6221D">
        <w:t>cost data for WPM activities undertaken in Victoria, SA and NSW</w:t>
      </w:r>
      <w:r w:rsidR="00253991" w:rsidRPr="00F6221D">
        <w:t xml:space="preserve"> and the ACT</w:t>
      </w:r>
      <w:r w:rsidR="008B194C" w:rsidRPr="00F6221D">
        <w:t>.</w:t>
      </w:r>
    </w:p>
    <w:p w:rsidR="0065619B" w:rsidRDefault="0065619B" w:rsidP="00260A71">
      <w:r w:rsidRPr="008A5D3F">
        <w:t>Queensland did not provide cost data</w:t>
      </w:r>
      <w:r w:rsidR="008A5D3F" w:rsidRPr="003F1051">
        <w:t>, noting that its charges were not cost reflective and that its ‘</w:t>
      </w:r>
      <w:r w:rsidR="008A5D3F" w:rsidRPr="008A5D3F">
        <w:rPr>
          <w:rFonts w:cs="Arial"/>
        </w:rPr>
        <w:t>WPM costs [are</w:t>
      </w:r>
      <w:r w:rsidR="008A5D3F">
        <w:rPr>
          <w:rFonts w:cs="Arial"/>
        </w:rPr>
        <w:t xml:space="preserve">] almost exclusively funded from consolidated </w:t>
      </w:r>
      <w:r w:rsidR="008A5D3F" w:rsidRPr="008A5D3F">
        <w:rPr>
          <w:rFonts w:cs="Arial"/>
        </w:rPr>
        <w:t>revenue.’</w:t>
      </w:r>
      <w:r w:rsidR="008A5D3F" w:rsidRPr="003F1051">
        <w:rPr>
          <w:rStyle w:val="FootnoteReference"/>
        </w:rPr>
        <w:footnoteReference w:id="7"/>
      </w:r>
    </w:p>
    <w:p w:rsidR="00917D32" w:rsidRDefault="00917D32" w:rsidP="00917D32">
      <w:r>
        <w:t xml:space="preserve">Under section 91(2) and 91(3) of the </w:t>
      </w:r>
      <w:r w:rsidRPr="00D34D5C">
        <w:rPr>
          <w:rStyle w:val="Emphasis"/>
        </w:rPr>
        <w:t>Water Act 2007</w:t>
      </w:r>
      <w:r>
        <w:t xml:space="preserve"> (the Act), regulated charges are those charges that relate to MDB resources, infrastructure carrying MDB water resources or water access rights, irrigation rights or water delivery rights in relation to MDB water resources. However, the definition does not extend to charges for urban water supply activities beyond </w:t>
      </w:r>
      <w:r>
        <w:lastRenderedPageBreak/>
        <w:t>the point at which the water has been removed from a Basin water resource.</w:t>
      </w:r>
      <w:r>
        <w:rPr>
          <w:rStyle w:val="FootnoteReference"/>
        </w:rPr>
        <w:footnoteReference w:id="8"/>
      </w:r>
      <w:r>
        <w:t xml:space="preserve"> As such</w:t>
      </w:r>
      <w:r w:rsidR="008B194C">
        <w:t>,</w:t>
      </w:r>
      <w:r>
        <w:t xml:space="preserve"> the Act does not regulate water resources that are either outside the MDB or which relate to urban water supply and accordingly the WCPMIR do not apply in these circumstances. </w:t>
      </w:r>
    </w:p>
    <w:p w:rsidR="0065619B" w:rsidRDefault="00917D32" w:rsidP="0065619B">
      <w:r>
        <w:t>However, e</w:t>
      </w:r>
      <w:r w:rsidR="00CD72A0">
        <w:t xml:space="preserve">xcept for South Australia, the </w:t>
      </w:r>
      <w:r w:rsidR="0065619B">
        <w:t>RFI responses did not disaggregate information about:</w:t>
      </w:r>
    </w:p>
    <w:p w:rsidR="0065619B" w:rsidRPr="00F6221D" w:rsidRDefault="0065619B" w:rsidP="00DA47C0">
      <w:pPr>
        <w:pStyle w:val="Bulletpoint"/>
      </w:pPr>
      <w:r w:rsidRPr="00F6221D">
        <w:t xml:space="preserve">whether the WPM charges </w:t>
      </w:r>
      <w:r w:rsidR="00DA20C6" w:rsidRPr="00F6221D">
        <w:t xml:space="preserve">or activities </w:t>
      </w:r>
      <w:r w:rsidRPr="00F6221D">
        <w:t>relate to water resources outside the MDB or</w:t>
      </w:r>
    </w:p>
    <w:p w:rsidR="0065619B" w:rsidRPr="00F6221D" w:rsidRDefault="0065619B" w:rsidP="00DA47C0">
      <w:pPr>
        <w:pStyle w:val="Bulletpoint"/>
      </w:pPr>
      <w:r w:rsidRPr="00F6221D">
        <w:t xml:space="preserve">whether the WPM charges </w:t>
      </w:r>
      <w:r w:rsidR="00DA20C6" w:rsidRPr="00F6221D">
        <w:t xml:space="preserve">or activities </w:t>
      </w:r>
      <w:r w:rsidRPr="00F6221D">
        <w:t>relate to urban water supply activities.</w:t>
      </w:r>
    </w:p>
    <w:p w:rsidR="00DA20C6" w:rsidRDefault="008B194C" w:rsidP="0065619B">
      <w:r>
        <w:t>Reasons for this include</w:t>
      </w:r>
      <w:r w:rsidR="00DA20C6">
        <w:t>:</w:t>
      </w:r>
    </w:p>
    <w:p w:rsidR="00DA20C6" w:rsidRPr="00F6221D" w:rsidRDefault="00F948E3" w:rsidP="00DA47C0">
      <w:pPr>
        <w:pStyle w:val="Bulletpoint"/>
      </w:pPr>
      <w:r w:rsidRPr="00F6221D">
        <w:t xml:space="preserve">the same </w:t>
      </w:r>
      <w:r w:rsidR="00DA20C6" w:rsidRPr="00F6221D">
        <w:t xml:space="preserve">WPM charges often </w:t>
      </w:r>
      <w:r w:rsidRPr="00F6221D">
        <w:t xml:space="preserve">apply to areas </w:t>
      </w:r>
      <w:r w:rsidR="00917D32" w:rsidRPr="00F6221D">
        <w:t xml:space="preserve">both </w:t>
      </w:r>
      <w:r w:rsidR="00DA20C6" w:rsidRPr="00F6221D">
        <w:t>within and outside the MDB</w:t>
      </w:r>
    </w:p>
    <w:p w:rsidR="00917D32" w:rsidRPr="00F6221D" w:rsidRDefault="00917D32" w:rsidP="00DA47C0">
      <w:pPr>
        <w:pStyle w:val="Bulletpoint"/>
      </w:pPr>
      <w:r w:rsidRPr="00F6221D">
        <w:t>i</w:t>
      </w:r>
      <w:r w:rsidR="00DA20C6" w:rsidRPr="00F6221D">
        <w:t xml:space="preserve">t is </w:t>
      </w:r>
      <w:r w:rsidRPr="00F6221D">
        <w:t xml:space="preserve">often </w:t>
      </w:r>
      <w:r w:rsidR="00DA20C6" w:rsidRPr="00F6221D">
        <w:t xml:space="preserve">difficult to attribute a WPM activity to </w:t>
      </w:r>
      <w:r w:rsidRPr="00F6221D">
        <w:t xml:space="preserve">an MDB and a non-MDB water source or differentiate between a rural and urban water supply activity. For example, WPM expenditure on </w:t>
      </w:r>
      <w:r w:rsidR="00F948E3" w:rsidRPr="00F6221D">
        <w:t xml:space="preserve">water quality analysis is likely to benefit both urban and rural water users. </w:t>
      </w:r>
    </w:p>
    <w:p w:rsidR="00897AA5" w:rsidRDefault="004A444F" w:rsidP="00736EBA">
      <w:pPr>
        <w:pStyle w:val="Numbered11"/>
      </w:pPr>
      <w:bookmarkStart w:id="11" w:name="_Toc485303327"/>
      <w:r>
        <w:t>WPM Charges</w:t>
      </w:r>
      <w:bookmarkEnd w:id="11"/>
    </w:p>
    <w:p w:rsidR="00C47A72" w:rsidRDefault="00FA1244" w:rsidP="003F1051">
      <w:r>
        <w:t>Basin State Departments and water authorities partially recover for their WPM activities through charges. This section sets out:</w:t>
      </w:r>
    </w:p>
    <w:p w:rsidR="00505D09" w:rsidRPr="00F6221D" w:rsidRDefault="00FA1244" w:rsidP="00DA47C0">
      <w:pPr>
        <w:pStyle w:val="Bulletpoint"/>
      </w:pPr>
      <w:r w:rsidRPr="00F6221D">
        <w:t xml:space="preserve">the </w:t>
      </w:r>
      <w:r w:rsidR="009F05E8" w:rsidRPr="00F6221D">
        <w:t xml:space="preserve">entities </w:t>
      </w:r>
      <w:r w:rsidRPr="00F6221D">
        <w:t>that undertake these WPM activities</w:t>
      </w:r>
    </w:p>
    <w:p w:rsidR="00077F1D" w:rsidRPr="00F6221D" w:rsidRDefault="00505D09" w:rsidP="00DA47C0">
      <w:pPr>
        <w:pStyle w:val="Bulletpoint"/>
      </w:pPr>
      <w:r w:rsidRPr="00F6221D">
        <w:t xml:space="preserve">what activities these </w:t>
      </w:r>
      <w:r w:rsidR="009F05E8" w:rsidRPr="00F6221D">
        <w:t xml:space="preserve">entities </w:t>
      </w:r>
      <w:r w:rsidRPr="00F6221D">
        <w:t>charge for, including trade application fees</w:t>
      </w:r>
      <w:r w:rsidR="00EE502C" w:rsidRPr="00F6221D">
        <w:t>.</w:t>
      </w:r>
    </w:p>
    <w:p w:rsidR="005A15F1" w:rsidRDefault="005A15F1" w:rsidP="005A15F1">
      <w:r>
        <w:t xml:space="preserve">See also section </w:t>
      </w:r>
      <w:r>
        <w:fldChar w:fldCharType="begin"/>
      </w:r>
      <w:r>
        <w:instrText xml:space="preserve"> REF _Ref483917362 \r \h </w:instrText>
      </w:r>
      <w:r>
        <w:fldChar w:fldCharType="separate"/>
      </w:r>
      <w:r>
        <w:t>4.3</w:t>
      </w:r>
      <w:r>
        <w:fldChar w:fldCharType="end"/>
      </w:r>
      <w:r>
        <w:t xml:space="preserve"> for assumptions relating to water planning and management charges for approving and registering trades of water access rights.</w:t>
      </w:r>
    </w:p>
    <w:p w:rsidR="00897AA5" w:rsidRPr="00CE3EB9" w:rsidRDefault="00897AA5" w:rsidP="00736EBA">
      <w:pPr>
        <w:pStyle w:val="Numbered111"/>
      </w:pPr>
      <w:bookmarkStart w:id="12" w:name="_Toc418071311"/>
      <w:bookmarkStart w:id="13" w:name="_Toc418495324"/>
      <w:bookmarkStart w:id="14" w:name="_Toc447900569"/>
      <w:bookmarkStart w:id="15" w:name="_Toc449692771"/>
      <w:bookmarkStart w:id="16" w:name="_Toc449692967"/>
      <w:bookmarkStart w:id="17" w:name="_Ref483917509"/>
      <w:bookmarkStart w:id="18" w:name="_Toc485303328"/>
      <w:r w:rsidRPr="00CE3EB9">
        <w:t>Queensland</w:t>
      </w:r>
      <w:bookmarkEnd w:id="12"/>
      <w:bookmarkEnd w:id="13"/>
      <w:bookmarkEnd w:id="14"/>
      <w:bookmarkEnd w:id="15"/>
      <w:bookmarkEnd w:id="16"/>
      <w:bookmarkEnd w:id="17"/>
      <w:bookmarkEnd w:id="18"/>
      <w:r w:rsidRPr="00CE3EB9">
        <w:t xml:space="preserve">  </w:t>
      </w:r>
    </w:p>
    <w:p w:rsidR="00897AA5" w:rsidRDefault="00897AA5" w:rsidP="00897AA5">
      <w:r w:rsidRPr="005F7290">
        <w:t>In Queensland, most WPM activities are carried out by the Department of Natural Resources and Mines (DNRM). SunWater also undertakes some of these activities as part of its water licence conditions.</w:t>
      </w:r>
    </w:p>
    <w:p w:rsidR="00C60643" w:rsidRDefault="00505D09" w:rsidP="00505D09">
      <w:r>
        <w:t xml:space="preserve">Regulated WPM charges are determined by the Queensland Government as per Schedules 14, 15A and 16 of the </w:t>
      </w:r>
      <w:r w:rsidR="00077F1D">
        <w:t>Water Regulations 20</w:t>
      </w:r>
      <w:r>
        <w:t xml:space="preserve">02 made under the </w:t>
      </w:r>
      <w:r w:rsidRPr="00D34D5C">
        <w:rPr>
          <w:rStyle w:val="Emphasis"/>
        </w:rPr>
        <w:t>Water Act 2000</w:t>
      </w:r>
      <w:r>
        <w:t xml:space="preserve"> (Qld)</w:t>
      </w:r>
      <w:r w:rsidR="00D52269" w:rsidDel="00D52269">
        <w:rPr>
          <w:rStyle w:val="FootnoteReference"/>
        </w:rPr>
        <w:t xml:space="preserve"> </w:t>
      </w:r>
      <w:r w:rsidR="00F35A66">
        <w:t>:</w:t>
      </w:r>
    </w:p>
    <w:p w:rsidR="00505D09" w:rsidRPr="00F6221D" w:rsidRDefault="00C60643" w:rsidP="00DA47C0">
      <w:pPr>
        <w:pStyle w:val="Bulletpoint"/>
      </w:pPr>
      <w:r w:rsidRPr="00F6221D">
        <w:t>Schedule 14 covers water harvesting charges</w:t>
      </w:r>
      <w:r w:rsidR="00F35A66" w:rsidRPr="00F6221D">
        <w:t xml:space="preserve"> applying</w:t>
      </w:r>
      <w:r w:rsidRPr="00F6221D">
        <w:t xml:space="preserve"> throughout Queensland</w:t>
      </w:r>
      <w:r w:rsidR="006721FA" w:rsidRPr="00F6221D">
        <w:t xml:space="preserve"> </w:t>
      </w:r>
      <w:r w:rsidR="00F35A66" w:rsidRPr="00F6221D">
        <w:t>(i.e.</w:t>
      </w:r>
      <w:r w:rsidR="00E934A9" w:rsidRPr="00F6221D">
        <w:t> </w:t>
      </w:r>
      <w:r w:rsidRPr="00F6221D">
        <w:t>including MDB and non-MDB areas</w:t>
      </w:r>
      <w:r w:rsidR="00F35A66" w:rsidRPr="00F6221D">
        <w:t>)</w:t>
      </w:r>
      <w:r w:rsidR="00F35A66" w:rsidRPr="00F90601">
        <w:rPr>
          <w:rStyle w:val="FootnoteReference"/>
        </w:rPr>
        <w:footnoteReference w:id="9"/>
      </w:r>
      <w:r w:rsidR="006721FA" w:rsidRPr="00F6221D">
        <w:t xml:space="preserve"> </w:t>
      </w:r>
    </w:p>
    <w:p w:rsidR="00C60643" w:rsidRPr="00F6221D" w:rsidRDefault="00C60643" w:rsidP="00DA47C0">
      <w:pPr>
        <w:pStyle w:val="Bulletpoint"/>
      </w:pPr>
      <w:r w:rsidRPr="00F6221D">
        <w:t>Schedule 15A covers meter</w:t>
      </w:r>
      <w:r w:rsidR="00096116" w:rsidRPr="00F6221D">
        <w:t>-related</w:t>
      </w:r>
      <w:r w:rsidRPr="00F6221D">
        <w:t xml:space="preserve"> charges (separated into MDB and non-MDB areas</w:t>
      </w:r>
      <w:r w:rsidR="00021933" w:rsidRPr="00F6221D">
        <w:t>)</w:t>
      </w:r>
    </w:p>
    <w:p w:rsidR="00C60643" w:rsidRDefault="00C60643" w:rsidP="00DA47C0">
      <w:pPr>
        <w:pStyle w:val="Bulletpoint"/>
      </w:pPr>
      <w:r w:rsidRPr="00F6221D">
        <w:t xml:space="preserve">Schedule 16 covers </w:t>
      </w:r>
      <w:r w:rsidR="00E934A9" w:rsidRPr="00F6221D">
        <w:t xml:space="preserve">charges for </w:t>
      </w:r>
      <w:r w:rsidRPr="00F6221D">
        <w:t>various application</w:t>
      </w:r>
      <w:r w:rsidR="001E215B" w:rsidRPr="00F6221D">
        <w:t>s</w:t>
      </w:r>
      <w:r w:rsidR="00716722" w:rsidRPr="00F6221D">
        <w:t xml:space="preserve">, lodgement and other miscellaneous </w:t>
      </w:r>
      <w:r w:rsidRPr="00F6221D">
        <w:t>fees including: fees to amalgamate or subdivide water allocations</w:t>
      </w:r>
      <w:r w:rsidR="00E934A9" w:rsidRPr="00F90601">
        <w:rPr>
          <w:rStyle w:val="FootnoteReference"/>
        </w:rPr>
        <w:footnoteReference w:id="10"/>
      </w:r>
      <w:r w:rsidRPr="00F6221D">
        <w:t xml:space="preserve">; </w:t>
      </w:r>
      <w:r w:rsidR="00716722" w:rsidRPr="00F6221D">
        <w:t xml:space="preserve">a fee to </w:t>
      </w:r>
      <w:r w:rsidRPr="00F6221D">
        <w:t>creat</w:t>
      </w:r>
      <w:r w:rsidR="00716722" w:rsidRPr="00F6221D">
        <w:t>e</w:t>
      </w:r>
      <w:r>
        <w:t xml:space="preserve"> separate titles for water allocations; </w:t>
      </w:r>
      <w:r w:rsidR="00716722">
        <w:t xml:space="preserve">a </w:t>
      </w:r>
      <w:r>
        <w:t>water licence application fee</w:t>
      </w:r>
      <w:r w:rsidR="00716722">
        <w:t xml:space="preserve">; and a </w:t>
      </w:r>
      <w:r w:rsidR="00BE6845">
        <w:t xml:space="preserve">fee to </w:t>
      </w:r>
      <w:r w:rsidR="00716722">
        <w:t>lodge</w:t>
      </w:r>
      <w:r w:rsidR="00BE6845">
        <w:t xml:space="preserve"> in the registry an instrument that changes ownership of a water allocation or an interest in a water allocation.</w:t>
      </w:r>
      <w:r>
        <w:t xml:space="preserve"> </w:t>
      </w:r>
    </w:p>
    <w:p w:rsidR="00496331" w:rsidRPr="00A92837" w:rsidRDefault="00505D09" w:rsidP="00C60643">
      <w:r w:rsidRPr="005A15F1">
        <w:t xml:space="preserve">The regulated </w:t>
      </w:r>
      <w:r w:rsidR="001606EB" w:rsidRPr="005A15F1">
        <w:t xml:space="preserve">charges for WPM activities in Queensland for </w:t>
      </w:r>
      <w:r w:rsidR="001C3657" w:rsidRPr="005A15F1">
        <w:t>2015−16</w:t>
      </w:r>
      <w:r w:rsidR="001606EB" w:rsidRPr="005A15F1">
        <w:t xml:space="preserve"> are</w:t>
      </w:r>
      <w:r w:rsidRPr="005A15F1">
        <w:t xml:space="preserve"> set out below.</w:t>
      </w:r>
      <w:r>
        <w:t xml:space="preserve"> </w:t>
      </w:r>
    </w:p>
    <w:p w:rsidR="00496331" w:rsidRPr="00891FF3" w:rsidRDefault="00136A9C" w:rsidP="00891FF3">
      <w:pPr>
        <w:keepNext/>
        <w:keepLines/>
      </w:pPr>
      <w:r w:rsidRPr="00136A9C">
        <w:rPr>
          <w:rStyle w:val="TabletitleChar"/>
        </w:rPr>
        <w:lastRenderedPageBreak/>
        <w:t>Water Regulation 2002 (Qld)—</w:t>
      </w:r>
      <w:r w:rsidR="00C60643" w:rsidRPr="00A63D8E">
        <w:rPr>
          <w:rStyle w:val="TabletitleChar"/>
        </w:rPr>
        <w:t>Schedule 14</w:t>
      </w:r>
      <w:r>
        <w:rPr>
          <w:rStyle w:val="TabletitleChar"/>
        </w:rPr>
        <w:t>—</w:t>
      </w:r>
      <w:r w:rsidR="00252B45">
        <w:rPr>
          <w:rStyle w:val="TabletitleChar"/>
        </w:rPr>
        <w:t>W</w:t>
      </w:r>
      <w:r w:rsidR="00C60643" w:rsidRPr="00A63D8E">
        <w:rPr>
          <w:rStyle w:val="TabletitleChar"/>
        </w:rPr>
        <w:t xml:space="preserve">ater </w:t>
      </w:r>
      <w:r w:rsidR="00252B45">
        <w:rPr>
          <w:rStyle w:val="TabletitleChar"/>
        </w:rPr>
        <w:t>harvesting c</w:t>
      </w:r>
      <w:r w:rsidR="00C60643" w:rsidRPr="00A63D8E">
        <w:rPr>
          <w:rStyle w:val="TabletitleChar"/>
        </w:rPr>
        <w:t>harges</w:t>
      </w:r>
      <w:r w:rsidR="00244841" w:rsidRPr="00891FF3">
        <w:rPr>
          <w:rStyle w:val="FootnoteReference"/>
        </w:rPr>
        <w:footnoteReference w:id="11"/>
      </w:r>
      <w:r w:rsidR="001C4789" w:rsidRPr="00891FF3">
        <w:t xml:space="preserve"> </w:t>
      </w:r>
    </w:p>
    <w:p w:rsidR="00496331" w:rsidRPr="00891FF3" w:rsidRDefault="00496331" w:rsidP="00891FF3">
      <w:pPr>
        <w:keepNext/>
        <w:keepLines/>
      </w:pPr>
      <w:r w:rsidRPr="00891FF3">
        <w:rPr>
          <w:noProof/>
          <w:lang w:eastAsia="en-AU"/>
        </w:rPr>
        <w:drawing>
          <wp:inline distT="0" distB="0" distL="0" distR="0" wp14:anchorId="7A08D26E" wp14:editId="3F7DAE69">
            <wp:extent cx="5192202" cy="6154310"/>
            <wp:effectExtent l="0" t="0" r="8890" b="0"/>
            <wp:docPr id="13" name="Picture 13" descr="This schedule lists out certain water planning and management charges (generally water harvesting charges) set by the Queensland Government for the 2015-16 financial year." title="Water Regulation 2002 (Qld), Schedule 14 - Water charge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0707" cy="6152538"/>
                    </a:xfrm>
                    <a:prstGeom prst="rect">
                      <a:avLst/>
                    </a:prstGeom>
                    <a:noFill/>
                  </pic:spPr>
                </pic:pic>
              </a:graphicData>
            </a:graphic>
          </wp:inline>
        </w:drawing>
      </w:r>
    </w:p>
    <w:p w:rsidR="00496331" w:rsidRPr="00891FF3" w:rsidRDefault="00AC69ED" w:rsidP="00C60643">
      <w:r>
        <w:rPr>
          <w:noProof/>
          <w:lang w:eastAsia="en-AU"/>
        </w:rPr>
        <w:lastRenderedPageBreak/>
        <w:drawing>
          <wp:inline distT="0" distB="0" distL="0" distR="0" wp14:anchorId="5398D3ED" wp14:editId="29070683">
            <wp:extent cx="5340348" cy="6830170"/>
            <wp:effectExtent l="0" t="0" r="0" b="0"/>
            <wp:docPr id="31" name="Picture 31" descr="This schedule lists out certain water planning and management charges (generally water harvesting charges) set by the Queensland Government for the 2015-16 financial year. " title="Water Regulation 2002 (Qld), Schedule 14 - Water charge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39877" cy="6829567"/>
                    </a:xfrm>
                    <a:prstGeom prst="rect">
                      <a:avLst/>
                    </a:prstGeom>
                  </pic:spPr>
                </pic:pic>
              </a:graphicData>
            </a:graphic>
          </wp:inline>
        </w:drawing>
      </w:r>
    </w:p>
    <w:p w:rsidR="00496331" w:rsidRPr="00891FF3" w:rsidRDefault="00EA573F" w:rsidP="00C60643">
      <w:r>
        <w:rPr>
          <w:noProof/>
          <w:lang w:eastAsia="en-AU"/>
        </w:rPr>
        <w:lastRenderedPageBreak/>
        <w:drawing>
          <wp:inline distT="0" distB="0" distL="0" distR="0" wp14:anchorId="0D919A26" wp14:editId="25D34D04">
            <wp:extent cx="5038096" cy="5323810"/>
            <wp:effectExtent l="0" t="0" r="0" b="0"/>
            <wp:docPr id="30" name="Picture 30" descr="This schedule lists certain water planning and management charges (generally water harvesting charges) set by the Queensland Government for the 2015-16 financial year." title="Water Regulation 2002 (Qld), Schedule 14 - Water charges,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38096" cy="5323810"/>
                    </a:xfrm>
                    <a:prstGeom prst="rect">
                      <a:avLst/>
                    </a:prstGeom>
                  </pic:spPr>
                </pic:pic>
              </a:graphicData>
            </a:graphic>
          </wp:inline>
        </w:drawing>
      </w:r>
    </w:p>
    <w:p w:rsidR="00C60643" w:rsidRPr="00891FF3" w:rsidRDefault="00C60643" w:rsidP="00C60643">
      <w:r>
        <w:rPr>
          <w:noProof/>
          <w:lang w:eastAsia="en-AU"/>
        </w:rPr>
        <w:drawing>
          <wp:inline distT="0" distB="0" distL="0" distR="0" wp14:anchorId="363E688C" wp14:editId="133D9163">
            <wp:extent cx="5037826" cy="3010619"/>
            <wp:effectExtent l="0" t="0" r="0" b="0"/>
            <wp:docPr id="83" name="Picture 83" descr="This schedule lists certain water planning and management charges (generally water harvesting charges) set by the Queensland Government for the 2015-16 financial year. " title="Water Regulation 2002 (Qld), Schedule 14 - Water charges,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38096" cy="3010780"/>
                    </a:xfrm>
                    <a:prstGeom prst="rect">
                      <a:avLst/>
                    </a:prstGeom>
                  </pic:spPr>
                </pic:pic>
              </a:graphicData>
            </a:graphic>
          </wp:inline>
        </w:drawing>
      </w:r>
    </w:p>
    <w:p w:rsidR="00C60643" w:rsidRPr="003F1051" w:rsidRDefault="0071734A" w:rsidP="00A63D8E">
      <w:pPr>
        <w:pStyle w:val="Tabletitle"/>
      </w:pPr>
      <w:r w:rsidRPr="003F1051">
        <w:rPr>
          <w:lang w:eastAsia="en-AU"/>
        </w:rPr>
        <w:lastRenderedPageBreak/>
        <w:t>Water Regulation 2002</w:t>
      </w:r>
      <w:r w:rsidR="00A60FAA">
        <w:rPr>
          <w:lang w:eastAsia="en-AU"/>
        </w:rPr>
        <w:t xml:space="preserve"> (Qld)—</w:t>
      </w:r>
      <w:r w:rsidRPr="003F1051">
        <w:rPr>
          <w:lang w:eastAsia="en-AU"/>
        </w:rPr>
        <w:t>Sch</w:t>
      </w:r>
      <w:r w:rsidR="00A60FAA">
        <w:rPr>
          <w:lang w:eastAsia="en-AU"/>
        </w:rPr>
        <w:t>edule</w:t>
      </w:r>
      <w:r w:rsidRPr="003F1051">
        <w:rPr>
          <w:lang w:eastAsia="en-AU"/>
        </w:rPr>
        <w:t xml:space="preserve"> 15A</w:t>
      </w:r>
      <w:r w:rsidR="00A60FAA">
        <w:rPr>
          <w:lang w:eastAsia="en-AU"/>
        </w:rPr>
        <w:t>—Charges for m</w:t>
      </w:r>
      <w:r w:rsidRPr="003F1051">
        <w:rPr>
          <w:lang w:eastAsia="en-AU"/>
        </w:rPr>
        <w:t xml:space="preserve">etered </w:t>
      </w:r>
      <w:r w:rsidR="00A60FAA">
        <w:rPr>
          <w:lang w:eastAsia="en-AU"/>
        </w:rPr>
        <w:t>e</w:t>
      </w:r>
      <w:r w:rsidRPr="003F1051">
        <w:rPr>
          <w:lang w:eastAsia="en-AU"/>
        </w:rPr>
        <w:t>ntitlements in Qld MDB</w:t>
      </w:r>
      <w:r w:rsidR="00BE6845">
        <w:rPr>
          <w:rStyle w:val="FootnoteReference"/>
          <w:lang w:eastAsia="en-AU"/>
        </w:rPr>
        <w:footnoteReference w:id="12"/>
      </w:r>
    </w:p>
    <w:tbl>
      <w:tblPr>
        <w:tblStyle w:val="MediumGrid3"/>
        <w:tblW w:w="0" w:type="auto"/>
        <w:tblLook w:val="04A0" w:firstRow="1" w:lastRow="0" w:firstColumn="1" w:lastColumn="0" w:noHBand="0" w:noVBand="1"/>
      </w:tblPr>
      <w:tblGrid>
        <w:gridCol w:w="7093"/>
        <w:gridCol w:w="2149"/>
      </w:tblGrid>
      <w:tr w:rsidR="00C60643" w:rsidRPr="00873A36" w:rsidTr="00B73FC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3" w:type="dxa"/>
            <w:noWrap/>
            <w:hideMark/>
          </w:tcPr>
          <w:p w:rsidR="00C60643" w:rsidRPr="00DB3A0B" w:rsidRDefault="00C60643" w:rsidP="009715E3">
            <w:pPr>
              <w:pStyle w:val="Tabletext"/>
            </w:pPr>
            <w:r w:rsidRPr="00DB3A0B">
              <w:t>Charge title</w:t>
            </w:r>
          </w:p>
        </w:tc>
        <w:tc>
          <w:tcPr>
            <w:tcW w:w="2149" w:type="dxa"/>
            <w:hideMark/>
          </w:tcPr>
          <w:p w:rsidR="00C60643" w:rsidRPr="00DB3A0B" w:rsidRDefault="001C3657" w:rsidP="009715E3">
            <w:pPr>
              <w:pStyle w:val="Tabletext"/>
              <w:cnfStyle w:val="100000000000" w:firstRow="1" w:lastRow="0" w:firstColumn="0" w:lastColumn="0" w:oddVBand="0" w:evenVBand="0" w:oddHBand="0" w:evenHBand="0" w:firstRowFirstColumn="0" w:firstRowLastColumn="0" w:lastRowFirstColumn="0" w:lastRowLastColumn="0"/>
            </w:pPr>
            <w:r w:rsidRPr="00DB3A0B">
              <w:t>2015−16</w:t>
            </w:r>
            <w:r w:rsidR="00C60643" w:rsidRPr="00DB3A0B">
              <w:t xml:space="preserve"> Charge amount</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rsidR="00C60643" w:rsidRPr="009715E3" w:rsidRDefault="00C60643" w:rsidP="009715E3">
            <w:pPr>
              <w:pStyle w:val="Tabletext"/>
            </w:pPr>
            <w:r w:rsidRPr="009715E3">
              <w:t xml:space="preserve">Water Regulation 2002 </w:t>
            </w:r>
            <w:r w:rsidR="009715E3">
              <w:t>–</w:t>
            </w:r>
            <w:r w:rsidRPr="009715E3">
              <w:t xml:space="preserve"> Sch</w:t>
            </w:r>
            <w:r w:rsidR="009715E3">
              <w:t>.</w:t>
            </w:r>
            <w:r w:rsidRPr="009715E3">
              <w:t xml:space="preserve"> 15A Metered Entitlements in Qld MDB area</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pPr>
            <w:r w:rsidRPr="009715E3">
              <w:t>The plan area of the Water Resource (Moonie) Plan 2003</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 xml:space="preserve">$153.30 </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operating charge — based on the cost to the Department for reading the meter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N/A</w:t>
            </w:r>
          </w:p>
        </w:tc>
      </w:tr>
      <w:tr w:rsidR="00B73FC8"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9242" w:type="dxa"/>
            <w:gridSpan w:val="2"/>
            <w:hideMark/>
          </w:tcPr>
          <w:p w:rsidR="00B73FC8" w:rsidRPr="009715E3" w:rsidRDefault="00B73FC8" w:rsidP="009715E3">
            <w:pPr>
              <w:pStyle w:val="Tabletext"/>
            </w:pPr>
            <w:r w:rsidRPr="009715E3">
              <w:t>The plan area of the Water Resource (Warrego, Paroo, Bulloo and Nebine) Plan 2003</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use charge — based on the actual cost to the Department for site assessment, purchase and installation of the meter and project management costs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Range from $186.30 to $356.60</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operating charge — based on the cost to the Department for reading the meter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N/A</w:t>
            </w:r>
          </w:p>
        </w:tc>
      </w:tr>
      <w:tr w:rsidR="00B73FC8"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9242" w:type="dxa"/>
            <w:gridSpan w:val="2"/>
            <w:hideMark/>
          </w:tcPr>
          <w:p w:rsidR="00B73FC8" w:rsidRPr="009715E3" w:rsidRDefault="00B73FC8" w:rsidP="009715E3">
            <w:pPr>
              <w:pStyle w:val="Tabletext"/>
            </w:pPr>
            <w:r w:rsidRPr="009715E3">
              <w:t>Central Condamine Alluvium ground groundwater management area</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use charge — based on the actual cost to the Department for site assessment, purchase and installation of the meter and project management costs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Range from $126.10 to $465.66</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operating charge — based on the cost to the Department for reading the meter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N/A</w:t>
            </w:r>
          </w:p>
        </w:tc>
      </w:tr>
      <w:tr w:rsidR="00B73FC8"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9242" w:type="dxa"/>
            <w:gridSpan w:val="2"/>
            <w:hideMark/>
          </w:tcPr>
          <w:p w:rsidR="00B73FC8" w:rsidRPr="009715E3" w:rsidRDefault="00B73FC8" w:rsidP="009715E3">
            <w:pPr>
              <w:pStyle w:val="Tabletext"/>
            </w:pPr>
            <w:r w:rsidRPr="009715E3">
              <w:t>Condamine &amp; Balonne Water Management Area</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use charge — based on the actual cost to the Department for site assessment, purchase and installation of the meter and project management costs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 xml:space="preserve">$916.72 </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operating charge — based on the cost to the Department for reading the meter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N/A</w:t>
            </w:r>
          </w:p>
        </w:tc>
      </w:tr>
      <w:tr w:rsidR="00B73FC8"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9242" w:type="dxa"/>
            <w:gridSpan w:val="2"/>
            <w:hideMark/>
          </w:tcPr>
          <w:p w:rsidR="00B73FC8" w:rsidRPr="009715E3" w:rsidRDefault="00B73FC8" w:rsidP="009715E3">
            <w:pPr>
              <w:pStyle w:val="Tabletext"/>
            </w:pPr>
            <w:r w:rsidRPr="009715E3">
              <w:t>Stanthorpe water management area under the Water Resource (Border Rivers) Plan 2003</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use charge — based on the actual cost to the Department for site assessment, purchase and installation of the meter and project management costs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Range from $103.90 to $287.50</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operating charge — based on the cost to the Department for reading the meter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N/A</w:t>
            </w:r>
          </w:p>
        </w:tc>
      </w:tr>
      <w:tr w:rsidR="00B73FC8"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9242" w:type="dxa"/>
            <w:gridSpan w:val="2"/>
            <w:hideMark/>
          </w:tcPr>
          <w:p w:rsidR="00B73FC8" w:rsidRPr="009715E3" w:rsidRDefault="00B73FC8" w:rsidP="009715E3">
            <w:pPr>
              <w:pStyle w:val="Tabletext"/>
            </w:pPr>
            <w:r w:rsidRPr="009715E3">
              <w:t>Eastern Downs management area under the Water Resource (Great Artesian Basin) Plan 2006</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use charge — based on the actual cost to the Department for site assessment, purchase and installation of the meter and project management costs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nil</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operating charge — based on the cost to the Department for reading the meter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N/A</w:t>
            </w:r>
          </w:p>
        </w:tc>
      </w:tr>
      <w:tr w:rsidR="00B73FC8"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9242" w:type="dxa"/>
            <w:gridSpan w:val="2"/>
            <w:hideMark/>
          </w:tcPr>
          <w:p w:rsidR="00B73FC8" w:rsidRPr="009715E3" w:rsidRDefault="00B73FC8" w:rsidP="009715E3">
            <w:pPr>
              <w:pStyle w:val="Tabletext"/>
            </w:pPr>
            <w:r w:rsidRPr="009715E3">
              <w:t>The area of the basalt aquifer in the Toowoomba City Basalts groundwater management area</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lastRenderedPageBreak/>
              <w:t xml:space="preserve">Meter use charge — based on the actual cost to the Department for site assessment, purchase and installation of the meter and project management costs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Range from $64.50 to $89.00</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operating charge — based on the cost to the Department for reading the meter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N/A</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use charge — based on the actual cost to the Department for site assessment, purchase and installation of the meter and project management costs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Range from $137.80 to $234.95</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operating charge — based on the cost to the Department for reading the meter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 xml:space="preserve">$0.00 </w:t>
            </w:r>
          </w:p>
        </w:tc>
      </w:tr>
      <w:tr w:rsidR="00B73FC8"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9242" w:type="dxa"/>
            <w:gridSpan w:val="2"/>
            <w:hideMark/>
          </w:tcPr>
          <w:p w:rsidR="00B73FC8" w:rsidRPr="009715E3" w:rsidRDefault="00B73FC8" w:rsidP="009715E3">
            <w:pPr>
              <w:pStyle w:val="Tabletext"/>
            </w:pPr>
            <w:r w:rsidRPr="009715E3">
              <w:t>Weir water management area under the Water Resource (Border Rivers) Plan 2003</w:t>
            </w:r>
          </w:p>
        </w:tc>
      </w:tr>
      <w:tr w:rsidR="00C60643" w:rsidRPr="00873A36" w:rsidTr="00B73FC8">
        <w:trPr>
          <w:trHeight w:val="20"/>
        </w:trPr>
        <w:tc>
          <w:tcPr>
            <w:cnfStyle w:val="001000000000" w:firstRow="0" w:lastRow="0" w:firstColumn="1" w:lastColumn="0" w:oddVBand="0" w:evenVBand="0" w:oddHBand="0" w:evenHBand="0" w:firstRowFirstColumn="0" w:firstRowLastColumn="0" w:lastRowFirstColumn="0" w:lastRowLastColumn="0"/>
            <w:tcW w:w="7093" w:type="dxa"/>
            <w:hideMark/>
          </w:tcPr>
          <w:p w:rsidR="00C60643" w:rsidRPr="009715E3" w:rsidRDefault="00C60643" w:rsidP="009715E3">
            <w:pPr>
              <w:pStyle w:val="Tabletext"/>
              <w:rPr>
                <w:rStyle w:val="Strong"/>
              </w:rPr>
            </w:pPr>
            <w:r w:rsidRPr="009715E3">
              <w:rPr>
                <w:rStyle w:val="Strong"/>
              </w:rPr>
              <w:t xml:space="preserve">Meter operating charge — based on the cost to the Department for reading the meter </w:t>
            </w:r>
          </w:p>
        </w:tc>
        <w:tc>
          <w:tcPr>
            <w:tcW w:w="2149" w:type="dxa"/>
          </w:tcPr>
          <w:p w:rsidR="00C60643" w:rsidRPr="009715E3" w:rsidRDefault="00C60643" w:rsidP="009715E3">
            <w:pPr>
              <w:pStyle w:val="Tabletext"/>
              <w:cnfStyle w:val="000000000000" w:firstRow="0" w:lastRow="0" w:firstColumn="0" w:lastColumn="0" w:oddVBand="0" w:evenVBand="0" w:oddHBand="0" w:evenHBand="0" w:firstRowFirstColumn="0" w:firstRowLastColumn="0" w:lastRowFirstColumn="0" w:lastRowLastColumn="0"/>
            </w:pPr>
            <w:r w:rsidRPr="009715E3">
              <w:t>N/A</w:t>
            </w:r>
          </w:p>
        </w:tc>
      </w:tr>
    </w:tbl>
    <w:p w:rsidR="0050380F" w:rsidRPr="00891FF3" w:rsidRDefault="0050380F">
      <w:r w:rsidRPr="00891FF3">
        <w:br w:type="page"/>
      </w:r>
    </w:p>
    <w:p w:rsidR="00C60643" w:rsidRDefault="00A60FAA" w:rsidP="00A63D8E">
      <w:pPr>
        <w:pStyle w:val="Tabletitle"/>
      </w:pPr>
      <w:r w:rsidRPr="003F1051">
        <w:rPr>
          <w:lang w:eastAsia="en-AU"/>
        </w:rPr>
        <w:lastRenderedPageBreak/>
        <w:t>Water Regulation 2002</w:t>
      </w:r>
      <w:r>
        <w:rPr>
          <w:lang w:eastAsia="en-AU"/>
        </w:rPr>
        <w:t xml:space="preserve"> (Qld)—</w:t>
      </w:r>
      <w:r w:rsidR="00C60643">
        <w:t>Schedule 16</w:t>
      </w:r>
      <w:r>
        <w:t>—Miscellaneous charges</w:t>
      </w:r>
    </w:p>
    <w:p w:rsidR="00C60643" w:rsidRPr="00891FF3" w:rsidRDefault="00C60643" w:rsidP="00C60643">
      <w:r>
        <w:rPr>
          <w:noProof/>
          <w:lang w:eastAsia="en-AU"/>
        </w:rPr>
        <w:drawing>
          <wp:inline distT="0" distB="0" distL="0" distR="0" wp14:anchorId="3BFF443A" wp14:editId="4AE946ED">
            <wp:extent cx="5114286" cy="6295239"/>
            <wp:effectExtent l="0" t="0" r="0" b="0"/>
            <wp:docPr id="84" name="Picture 84" descr="Schedule 16 lists various transaction-based water planning and management fees in Queensland including application, lodgement and other miscellaneous fees. " title="Schedule 16 Fees - Water Regulation 2002 (Qld), Schedule 16, subsections 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14286" cy="6295239"/>
                    </a:xfrm>
                    <a:prstGeom prst="rect">
                      <a:avLst/>
                    </a:prstGeom>
                  </pic:spPr>
                </pic:pic>
              </a:graphicData>
            </a:graphic>
          </wp:inline>
        </w:drawing>
      </w:r>
    </w:p>
    <w:p w:rsidR="00C60643" w:rsidRDefault="00C60643" w:rsidP="00736EBA">
      <w:r>
        <w:rPr>
          <w:noProof/>
          <w:lang w:eastAsia="en-AU"/>
        </w:rPr>
        <w:lastRenderedPageBreak/>
        <w:drawing>
          <wp:inline distT="0" distB="0" distL="0" distR="0" wp14:anchorId="7252D47A" wp14:editId="6EAE391D">
            <wp:extent cx="5047619" cy="7514286"/>
            <wp:effectExtent l="0" t="0" r="635" b="0"/>
            <wp:docPr id="85" name="Picture 85" descr="Schedule 16 lists various transaction-based water planning and management fees in Queensland including application, lodgement and other miscellaneous fees.  " title="Schedule 16 Fees - Water Regulation 2002 (Qld), Schedule 16, subsections 6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47619" cy="7514286"/>
                    </a:xfrm>
                    <a:prstGeom prst="rect">
                      <a:avLst/>
                    </a:prstGeom>
                  </pic:spPr>
                </pic:pic>
              </a:graphicData>
            </a:graphic>
          </wp:inline>
        </w:drawing>
      </w:r>
    </w:p>
    <w:p w:rsidR="00C60643" w:rsidRPr="00731F85" w:rsidRDefault="00C60643" w:rsidP="00C60643">
      <w:r>
        <w:rPr>
          <w:noProof/>
          <w:lang w:eastAsia="en-AU"/>
        </w:rPr>
        <w:lastRenderedPageBreak/>
        <w:drawing>
          <wp:inline distT="0" distB="0" distL="0" distR="0" wp14:anchorId="2CD203D9" wp14:editId="0FEA6E7B">
            <wp:extent cx="5308270" cy="7469579"/>
            <wp:effectExtent l="0" t="0" r="6985" b="0"/>
            <wp:docPr id="86" name="Picture 86" descr="Schedule 16 lists various transaction-based water planning and management fees in Queensland including application, lodgement and other miscellaneous fees.  " title="Schedule 16 Fees - Water Regulation 2002 (Qld), Schedule 16, subsections 63(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10231" cy="7472338"/>
                    </a:xfrm>
                    <a:prstGeom prst="rect">
                      <a:avLst/>
                    </a:prstGeom>
                  </pic:spPr>
                </pic:pic>
              </a:graphicData>
            </a:graphic>
          </wp:inline>
        </w:drawing>
      </w:r>
    </w:p>
    <w:p w:rsidR="00C60643" w:rsidRDefault="00C60643" w:rsidP="00736EBA">
      <w:r>
        <w:rPr>
          <w:noProof/>
          <w:lang w:eastAsia="en-AU"/>
        </w:rPr>
        <w:lastRenderedPageBreak/>
        <w:drawing>
          <wp:inline distT="0" distB="0" distL="0" distR="0" wp14:anchorId="2F9D2593" wp14:editId="3AB7376B">
            <wp:extent cx="5161905" cy="7476191"/>
            <wp:effectExtent l="0" t="0" r="1270" b="0"/>
            <wp:docPr id="87" name="Picture 87" descr="Schedule 16 lists various transaction-based water planning and management fees in Queensland including application, lodgement and other miscellaneous fees.  " title="Schedule 16 Fees - Water Regulation 2002 (Qld), Schedule 16, subsections 63(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61905" cy="7476191"/>
                    </a:xfrm>
                    <a:prstGeom prst="rect">
                      <a:avLst/>
                    </a:prstGeom>
                  </pic:spPr>
                </pic:pic>
              </a:graphicData>
            </a:graphic>
          </wp:inline>
        </w:drawing>
      </w:r>
    </w:p>
    <w:p w:rsidR="00C60643" w:rsidRDefault="00C60643" w:rsidP="00C60643">
      <w:r>
        <w:rPr>
          <w:noProof/>
          <w:lang w:eastAsia="en-AU"/>
        </w:rPr>
        <w:lastRenderedPageBreak/>
        <w:drawing>
          <wp:inline distT="0" distB="0" distL="0" distR="0" wp14:anchorId="21D5D47F" wp14:editId="2345D0B3">
            <wp:extent cx="5731510" cy="7434430"/>
            <wp:effectExtent l="0" t="0" r="2540" b="0"/>
            <wp:docPr id="88" name="Picture 88" descr="Schedule 16 lists various transaction-based water planning and management fees in Queensland including application, lodgement and other miscellaneous fees.  " title="Schedule 16 Fees - Water Regulation 2002 (Qld), Schedule 16, subsections 63(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7434430"/>
                    </a:xfrm>
                    <a:prstGeom prst="rect">
                      <a:avLst/>
                    </a:prstGeom>
                  </pic:spPr>
                </pic:pic>
              </a:graphicData>
            </a:graphic>
          </wp:inline>
        </w:drawing>
      </w:r>
    </w:p>
    <w:p w:rsidR="00C20B71" w:rsidRDefault="00C20B71">
      <w:r>
        <w:br w:type="page"/>
      </w:r>
    </w:p>
    <w:p w:rsidR="00897AA5" w:rsidRPr="00924EF5" w:rsidRDefault="00897AA5" w:rsidP="00736EBA">
      <w:pPr>
        <w:pStyle w:val="Numbered111"/>
      </w:pPr>
      <w:bookmarkStart w:id="19" w:name="_Toc418071312"/>
      <w:bookmarkStart w:id="20" w:name="_Toc418495325"/>
      <w:bookmarkStart w:id="21" w:name="_Toc447900570"/>
      <w:bookmarkStart w:id="22" w:name="_Toc449692772"/>
      <w:bookmarkStart w:id="23" w:name="_Toc449692968"/>
      <w:bookmarkStart w:id="24" w:name="_Toc485303329"/>
      <w:r>
        <w:lastRenderedPageBreak/>
        <w:t>N</w:t>
      </w:r>
      <w:r w:rsidR="006C45A3">
        <w:t>ew South Wales</w:t>
      </w:r>
      <w:bookmarkEnd w:id="19"/>
      <w:bookmarkEnd w:id="20"/>
      <w:bookmarkEnd w:id="21"/>
      <w:bookmarkEnd w:id="22"/>
      <w:bookmarkEnd w:id="23"/>
      <w:bookmarkEnd w:id="24"/>
    </w:p>
    <w:p w:rsidR="00897AA5" w:rsidRDefault="00897AA5" w:rsidP="00897AA5">
      <w:r w:rsidRPr="005F7290">
        <w:t xml:space="preserve">In </w:t>
      </w:r>
      <w:r>
        <w:t>NSW</w:t>
      </w:r>
      <w:r w:rsidRPr="005F7290">
        <w:t xml:space="preserve">, WPM activities are primarily undertaken by the </w:t>
      </w:r>
      <w:r>
        <w:t xml:space="preserve">Department of Primary Industries </w:t>
      </w:r>
      <w:r w:rsidR="00C739A6">
        <w:t xml:space="preserve">Water </w:t>
      </w:r>
      <w:r>
        <w:t>(DPI</w:t>
      </w:r>
      <w:r w:rsidR="00C739A6">
        <w:t xml:space="preserve"> Water</w:t>
      </w:r>
      <w:r>
        <w:t>)</w:t>
      </w:r>
      <w:r>
        <w:rPr>
          <w:rStyle w:val="FootnoteReference"/>
        </w:rPr>
        <w:footnoteReference w:id="13"/>
      </w:r>
      <w:r w:rsidRPr="005F7290">
        <w:t xml:space="preserve">. </w:t>
      </w:r>
      <w:r w:rsidR="007850FE">
        <w:t xml:space="preserve">However, </w:t>
      </w:r>
      <w:r>
        <w:t>WaterNSW</w:t>
      </w:r>
      <w:r w:rsidR="000C22AE">
        <w:t xml:space="preserve"> undertakes certain WPM activities </w:t>
      </w:r>
      <w:r w:rsidR="007850FE">
        <w:t xml:space="preserve">and NSW </w:t>
      </w:r>
      <w:r w:rsidRPr="005F7290">
        <w:t xml:space="preserve">Land and Property Information office also undertakes </w:t>
      </w:r>
      <w:r w:rsidR="000C22AE">
        <w:t>activities relating to the registration of water licen</w:t>
      </w:r>
      <w:r w:rsidR="00C20B71">
        <w:t>c</w:t>
      </w:r>
      <w:r w:rsidR="000C22AE">
        <w:t>es, trades and approvals</w:t>
      </w:r>
      <w:r w:rsidR="007850FE">
        <w:t>.</w:t>
      </w:r>
    </w:p>
    <w:p w:rsidR="00534903" w:rsidRDefault="00534903" w:rsidP="00897AA5">
      <w:r>
        <w:t xml:space="preserve">WPM charges in NSW for </w:t>
      </w:r>
      <w:r w:rsidR="001C3657">
        <w:t>2015−16</w:t>
      </w:r>
      <w:r>
        <w:t xml:space="preserve"> were set by a range of </w:t>
      </w:r>
      <w:r w:rsidR="009F05E8">
        <w:t>entities</w:t>
      </w:r>
      <w:r>
        <w:t>:</w:t>
      </w:r>
    </w:p>
    <w:p w:rsidR="00932CA5" w:rsidRPr="00F6221D" w:rsidRDefault="00203E18" w:rsidP="00DA47C0">
      <w:pPr>
        <w:pStyle w:val="Bulletpoint"/>
      </w:pPr>
      <w:r w:rsidRPr="00F6221D">
        <w:t xml:space="preserve">IPART sets the maximum charges that </w:t>
      </w:r>
      <w:r w:rsidR="00534903" w:rsidRPr="00F6221D">
        <w:t>DPI Water</w:t>
      </w:r>
      <w:r w:rsidR="00AA3266" w:rsidRPr="00F6221D">
        <w:t xml:space="preserve"> can charge for the monopoly services it delivers on behalf of the Water Administration Ministerial Corporation.</w:t>
      </w:r>
      <w:r w:rsidR="000C22AE" w:rsidRPr="00F90601">
        <w:rPr>
          <w:rStyle w:val="FootnoteReference"/>
        </w:rPr>
        <w:footnoteReference w:id="14"/>
      </w:r>
      <w:r w:rsidR="000C22AE" w:rsidRPr="00F90601">
        <w:rPr>
          <w:rStyle w:val="FootnoteReference"/>
        </w:rPr>
        <w:t xml:space="preserve"> </w:t>
      </w:r>
      <w:r w:rsidR="004E21D1" w:rsidRPr="00F6221D">
        <w:t xml:space="preserve">These </w:t>
      </w:r>
      <w:r w:rsidR="00932CA5" w:rsidRPr="00F6221D">
        <w:t xml:space="preserve">charges </w:t>
      </w:r>
      <w:r w:rsidR="00826D0D" w:rsidRPr="00F6221D">
        <w:t>include</w:t>
      </w:r>
      <w:r w:rsidR="00932CA5" w:rsidRPr="00F6221D">
        <w:t>:</w:t>
      </w:r>
    </w:p>
    <w:p w:rsidR="00932CA5" w:rsidRPr="00357EBF" w:rsidRDefault="00826D0D" w:rsidP="00F90601">
      <w:pPr>
        <w:pStyle w:val="Bulletpoint2"/>
      </w:pPr>
      <w:r>
        <w:t xml:space="preserve">fixed </w:t>
      </w:r>
      <w:r w:rsidR="00932CA5">
        <w:t xml:space="preserve">access (based on water entitlement held) </w:t>
      </w:r>
      <w:r>
        <w:t>and variable</w:t>
      </w:r>
      <w:r w:rsidR="00932CA5">
        <w:t xml:space="preserve"> </w:t>
      </w:r>
      <w:r>
        <w:t>(</w:t>
      </w:r>
      <w:r w:rsidR="00932CA5">
        <w:t>based on actual water usage)</w:t>
      </w:r>
      <w:r>
        <w:t xml:space="preserve"> water management charges for each valley to recover a percentage </w:t>
      </w:r>
      <w:r w:rsidR="00932CA5">
        <w:t>of DPI Water’s WPM costs in th</w:t>
      </w:r>
      <w:r w:rsidR="00E172D9">
        <w:t>e relevant</w:t>
      </w:r>
      <w:r w:rsidR="00932CA5">
        <w:t xml:space="preserve"> valley</w:t>
      </w:r>
      <w:r w:rsidR="00E172D9">
        <w:t xml:space="preserve"> or system</w:t>
      </w:r>
      <w:r w:rsidR="00932CA5">
        <w:t>.</w:t>
      </w:r>
    </w:p>
    <w:p w:rsidR="00203E18" w:rsidRDefault="00932CA5" w:rsidP="00F90601">
      <w:pPr>
        <w:pStyle w:val="Bulletpoint2"/>
      </w:pPr>
      <w:r w:rsidRPr="00932CA5">
        <w:t>transaction</w:t>
      </w:r>
      <w:r w:rsidR="00826D0D" w:rsidRPr="00932CA5">
        <w:t xml:space="preserve"> charges</w:t>
      </w:r>
      <w:r w:rsidR="004E21D1" w:rsidRPr="003F1051">
        <w:t xml:space="preserve"> includ</w:t>
      </w:r>
      <w:r>
        <w:t>ing</w:t>
      </w:r>
      <w:r w:rsidR="004E21D1" w:rsidRPr="003F1051">
        <w:t xml:space="preserve"> </w:t>
      </w:r>
      <w:r w:rsidR="00C739A6" w:rsidRPr="00932CA5">
        <w:t xml:space="preserve">‘fees to cover the assessment and processing costs of </w:t>
      </w:r>
      <w:r w:rsidR="00C739A6" w:rsidRPr="00F90601">
        <w:rPr>
          <w:rStyle w:val="Emphasis"/>
        </w:rPr>
        <w:t>applications</w:t>
      </w:r>
      <w:r w:rsidR="00C739A6" w:rsidRPr="003F1051">
        <w:t xml:space="preserve"> for access licences, water supply work approvals, water use approvals and access licence dealings lodged under the </w:t>
      </w:r>
      <w:r w:rsidR="00C739A6" w:rsidRPr="00F90601">
        <w:rPr>
          <w:rStyle w:val="Emphasis"/>
        </w:rPr>
        <w:t>Water Management Act 2000</w:t>
      </w:r>
      <w:r w:rsidR="00C739A6" w:rsidRPr="003F1051">
        <w:t>’.</w:t>
      </w:r>
      <w:r w:rsidR="000C22AE" w:rsidRPr="00260A71">
        <w:rPr>
          <w:rStyle w:val="FootnoteReference"/>
        </w:rPr>
        <w:footnoteReference w:id="15"/>
      </w:r>
    </w:p>
    <w:p w:rsidR="000C22AE" w:rsidRPr="00F6221D" w:rsidRDefault="00932CA5" w:rsidP="00DA47C0">
      <w:pPr>
        <w:pStyle w:val="Bulletpoint"/>
      </w:pPr>
      <w:r w:rsidRPr="00F6221D">
        <w:t>The relevant Minister sets f</w:t>
      </w:r>
      <w:r w:rsidR="000C22AE" w:rsidRPr="00F6221D">
        <w:t xml:space="preserve">ees relating to </w:t>
      </w:r>
      <w:r w:rsidR="000C22AE" w:rsidRPr="00F90601">
        <w:rPr>
          <w:rStyle w:val="Emphasis"/>
        </w:rPr>
        <w:t>registration</w:t>
      </w:r>
      <w:r w:rsidR="000C22AE" w:rsidRPr="00F6221D">
        <w:t xml:space="preserve"> of water licences, trades, approvals and other registry functions.</w:t>
      </w:r>
      <w:r w:rsidR="000C22AE" w:rsidRPr="00F90601">
        <w:rPr>
          <w:rStyle w:val="FootnoteReference"/>
        </w:rPr>
        <w:footnoteReference w:id="16"/>
      </w:r>
      <w:r w:rsidR="000C22AE" w:rsidRPr="00F6221D">
        <w:t xml:space="preserve"> However, the register itself is administered by Land and Property Information.</w:t>
      </w:r>
      <w:r w:rsidR="000C22AE" w:rsidRPr="00F90601">
        <w:rPr>
          <w:rStyle w:val="FootnoteReference"/>
        </w:rPr>
        <w:footnoteReference w:id="17"/>
      </w:r>
    </w:p>
    <w:p w:rsidR="007850FE" w:rsidRPr="00F6221D" w:rsidRDefault="003D2AFA" w:rsidP="00DA47C0">
      <w:pPr>
        <w:pStyle w:val="Bulletpoint"/>
      </w:pPr>
      <w:r w:rsidRPr="00F6221D">
        <w:t>The ACCC set</w:t>
      </w:r>
      <w:r w:rsidR="007850FE" w:rsidRPr="00F6221D">
        <w:t xml:space="preserve"> maximum regulated charges </w:t>
      </w:r>
      <w:r w:rsidR="00FE0CD2" w:rsidRPr="00F6221D">
        <w:t>for</w:t>
      </w:r>
      <w:r w:rsidR="007850FE" w:rsidRPr="00F6221D">
        <w:t xml:space="preserve"> allocation trade processing and certain other WPM activities undertaken by WaterNSW</w:t>
      </w:r>
      <w:r w:rsidRPr="00F6221D">
        <w:t xml:space="preserve"> from</w:t>
      </w:r>
      <w:r w:rsidR="00A74400" w:rsidRPr="00F6221D">
        <w:t xml:space="preserve"> </w:t>
      </w:r>
      <w:r w:rsidR="001C3657" w:rsidRPr="00F6221D">
        <w:t>2014−15</w:t>
      </w:r>
      <w:r w:rsidR="00A74400" w:rsidRPr="00F6221D">
        <w:t xml:space="preserve"> </w:t>
      </w:r>
      <w:r w:rsidRPr="00F6221D">
        <w:t xml:space="preserve">until </w:t>
      </w:r>
      <w:r w:rsidR="001C3657" w:rsidRPr="00F6221D">
        <w:t>2016−17</w:t>
      </w:r>
      <w:r w:rsidR="007850FE" w:rsidRPr="00F6221D">
        <w:t xml:space="preserve">. After </w:t>
      </w:r>
      <w:r w:rsidR="001C3657" w:rsidRPr="00F6221D">
        <w:t>2016−17</w:t>
      </w:r>
      <w:r w:rsidR="007850FE" w:rsidRPr="00F6221D">
        <w:t xml:space="preserve">, IPART will commence setting </w:t>
      </w:r>
      <w:r w:rsidR="00E172D9" w:rsidRPr="00F6221D">
        <w:t xml:space="preserve">maximum charges </w:t>
      </w:r>
      <w:r w:rsidR="007850FE" w:rsidRPr="00F6221D">
        <w:t>for these activities. WaterNSW carries out these activities as part of its water licence conditions.</w:t>
      </w:r>
    </w:p>
    <w:p w:rsidR="002047F7" w:rsidRPr="003E694C" w:rsidRDefault="00A2254A" w:rsidP="00897AA5">
      <w:r w:rsidRPr="003F1051">
        <w:t xml:space="preserve">The </w:t>
      </w:r>
      <w:r w:rsidR="00AA4F9F">
        <w:t>schedul</w:t>
      </w:r>
      <w:r w:rsidR="00AA4F9F" w:rsidRPr="003F1051">
        <w:t xml:space="preserve">es </w:t>
      </w:r>
      <w:r w:rsidRPr="003F1051">
        <w:t>below</w:t>
      </w:r>
      <w:r>
        <w:t xml:space="preserve"> set out the maximum WPM charges </w:t>
      </w:r>
      <w:r w:rsidR="00624830">
        <w:t xml:space="preserve">for </w:t>
      </w:r>
      <w:r w:rsidR="001C3657">
        <w:t>2015−16</w:t>
      </w:r>
      <w:r w:rsidR="00624830">
        <w:t xml:space="preserve"> </w:t>
      </w:r>
      <w:r>
        <w:t xml:space="preserve">levied by DPI </w:t>
      </w:r>
      <w:r w:rsidR="00F17D91">
        <w:t>Water, the</w:t>
      </w:r>
      <w:r w:rsidR="00624830">
        <w:t xml:space="preserve"> Minister (in his role of setting registration charges for Land and Property Information)</w:t>
      </w:r>
      <w:r>
        <w:t xml:space="preserve"> and </w:t>
      </w:r>
      <w:r w:rsidR="00366872">
        <w:t>WaterNSW.</w:t>
      </w:r>
    </w:p>
    <w:p w:rsidR="00366872" w:rsidRPr="00366872" w:rsidRDefault="00366872" w:rsidP="00B60EF8">
      <w:pPr>
        <w:pStyle w:val="Tabletitle"/>
        <w:keepNext/>
      </w:pPr>
      <w:r w:rsidRPr="003F1051">
        <w:lastRenderedPageBreak/>
        <w:t>WPM charges levied by DPI Water</w:t>
      </w:r>
      <w:r>
        <w:t xml:space="preserve"> </w:t>
      </w:r>
      <w:r w:rsidRPr="003F1051">
        <w:t>for regulated river, unregulated river and aquifer access (groundwater) licences</w:t>
      </w:r>
    </w:p>
    <w:p w:rsidR="00612BC8" w:rsidRPr="00891FF3" w:rsidRDefault="00D46FEB" w:rsidP="00891FF3">
      <w:r>
        <w:rPr>
          <w:noProof/>
          <w:lang w:eastAsia="en-AU"/>
        </w:rPr>
        <w:drawing>
          <wp:inline distT="0" distB="0" distL="0" distR="0" wp14:anchorId="48641E38" wp14:editId="43E83737">
            <wp:extent cx="5731510" cy="3536881"/>
            <wp:effectExtent l="0" t="0" r="2540" b="698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731510" cy="3536881"/>
                    </a:xfrm>
                    <a:prstGeom prst="rect">
                      <a:avLst/>
                    </a:prstGeom>
                  </pic:spPr>
                </pic:pic>
              </a:graphicData>
            </a:graphic>
          </wp:inline>
        </w:drawing>
      </w:r>
    </w:p>
    <w:p w:rsidR="00D46FEB" w:rsidRDefault="00D46FEB"/>
    <w:p w:rsidR="00612BC8" w:rsidRPr="00891FF3" w:rsidRDefault="00D46FEB" w:rsidP="00891FF3">
      <w:r>
        <w:rPr>
          <w:noProof/>
          <w:lang w:eastAsia="en-AU"/>
        </w:rPr>
        <w:lastRenderedPageBreak/>
        <w:drawing>
          <wp:inline distT="0" distB="0" distL="0" distR="0" wp14:anchorId="3E9B0FE6" wp14:editId="5DBDB901">
            <wp:extent cx="5731510" cy="5192395"/>
            <wp:effectExtent l="0" t="0" r="2540"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5731510" cy="5192395"/>
                    </a:xfrm>
                    <a:prstGeom prst="rect">
                      <a:avLst/>
                    </a:prstGeom>
                  </pic:spPr>
                </pic:pic>
              </a:graphicData>
            </a:graphic>
          </wp:inline>
        </w:drawing>
      </w:r>
    </w:p>
    <w:p w:rsidR="00612BC8" w:rsidRPr="003F1051" w:rsidRDefault="00612BC8" w:rsidP="00891FF3"/>
    <w:p w:rsidR="00612BC8" w:rsidRDefault="007654DA" w:rsidP="007654DA">
      <w:r w:rsidRPr="007654DA">
        <w:rPr>
          <w:rStyle w:val="TabletitleChar"/>
          <w:noProof/>
          <w:lang w:eastAsia="en-AU"/>
        </w:rPr>
        <w:lastRenderedPageBreak/>
        <w:drawing>
          <wp:anchor distT="0" distB="0" distL="114300" distR="114300" simplePos="0" relativeHeight="251664384" behindDoc="0" locked="0" layoutInCell="1" allowOverlap="1" wp14:anchorId="526F3C05" wp14:editId="105E71CC">
            <wp:simplePos x="0" y="0"/>
            <wp:positionH relativeFrom="column">
              <wp:posOffset>0</wp:posOffset>
            </wp:positionH>
            <wp:positionV relativeFrom="paragraph">
              <wp:posOffset>247015</wp:posOffset>
            </wp:positionV>
            <wp:extent cx="5819775" cy="6047740"/>
            <wp:effectExtent l="0" t="0" r="9525" b="0"/>
            <wp:wrapSquare wrapText="bothSides"/>
            <wp:docPr id="94" name="Picture 94" descr="This schedule sets out DPI Water's transaction charges for the 2012-13 to 2015-16 financial years including: fees to cover the assessment and processing costs of applications for access licences, water supply work approvals, water use approvals and the lodgment of access licence dealings." title="DPI Water: 2013-16 application fees for water licenses and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819775" cy="6047740"/>
                    </a:xfrm>
                    <a:prstGeom prst="rect">
                      <a:avLst/>
                    </a:prstGeom>
                  </pic:spPr>
                </pic:pic>
              </a:graphicData>
            </a:graphic>
            <wp14:sizeRelH relativeFrom="page">
              <wp14:pctWidth>0</wp14:pctWidth>
            </wp14:sizeRelH>
            <wp14:sizeRelV relativeFrom="page">
              <wp14:pctHeight>0</wp14:pctHeight>
            </wp14:sizeRelV>
          </wp:anchor>
        </w:drawing>
      </w:r>
      <w:r w:rsidR="00612BC8" w:rsidRPr="007654DA">
        <w:rPr>
          <w:rStyle w:val="TabletitleChar"/>
        </w:rPr>
        <w:t xml:space="preserve">DPI Water: </w:t>
      </w:r>
      <w:r w:rsidR="001C3657" w:rsidRPr="007654DA">
        <w:rPr>
          <w:rStyle w:val="TabletitleChar"/>
        </w:rPr>
        <w:t>2015−16</w:t>
      </w:r>
      <w:r w:rsidR="00612BC8" w:rsidRPr="007654DA">
        <w:rPr>
          <w:rStyle w:val="TabletitleChar"/>
        </w:rPr>
        <w:t xml:space="preserve"> application fees for water access licenses and approvals</w:t>
      </w:r>
      <w:r w:rsidR="00612BC8" w:rsidRPr="007654DA">
        <w:rPr>
          <w:rStyle w:val="FootnoteReference"/>
        </w:rPr>
        <w:footnoteReference w:id="18"/>
      </w:r>
      <w:r w:rsidR="00366872">
        <w:rPr>
          <w:noProof/>
          <w:lang w:eastAsia="en-AU"/>
        </w:rPr>
        <w:t xml:space="preserve"> </w:t>
      </w:r>
      <w:r w:rsidR="00612BC8">
        <w:rPr>
          <w:noProof/>
          <w:lang w:eastAsia="en-AU"/>
        </w:rPr>
        <w:lastRenderedPageBreak/>
        <w:drawing>
          <wp:inline distT="0" distB="0" distL="0" distR="0" wp14:anchorId="12405AC1" wp14:editId="49E66811">
            <wp:extent cx="5731510" cy="6461420"/>
            <wp:effectExtent l="0" t="0" r="2540" b="0"/>
            <wp:docPr id="93" name="Picture 93" descr="This schedule sets out DPI Water's transaction charges for the 2012-13 to 2015-16 financial years including ‘fees to cover the assessment and processing costs of applications for access licences, water supply work approvals, water use approvals and the lodgment of access licence dealings." title="DPI Water: 2013-16 application fees for water access licenses and approval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6461420"/>
                    </a:xfrm>
                    <a:prstGeom prst="rect">
                      <a:avLst/>
                    </a:prstGeom>
                  </pic:spPr>
                </pic:pic>
              </a:graphicData>
            </a:graphic>
          </wp:inline>
        </w:drawing>
      </w:r>
    </w:p>
    <w:p w:rsidR="005B6632" w:rsidRDefault="005B6632" w:rsidP="00891FF3">
      <w:r>
        <w:br w:type="page"/>
      </w:r>
    </w:p>
    <w:p w:rsidR="002047F7" w:rsidRDefault="00CB30B5" w:rsidP="00A63D8E">
      <w:pPr>
        <w:pStyle w:val="Tabletitle"/>
      </w:pPr>
      <w:r w:rsidRPr="003F1051">
        <w:lastRenderedPageBreak/>
        <w:t xml:space="preserve">NSW Land and Property Information: </w:t>
      </w:r>
      <w:r w:rsidR="00D46FEB">
        <w:t>F</w:t>
      </w:r>
      <w:r w:rsidRPr="003F1051">
        <w:t>ees for land title related products and services from 1 July 2015</w:t>
      </w:r>
      <w:r w:rsidR="00624830" w:rsidRPr="003E694C">
        <w:rPr>
          <w:rStyle w:val="FootnoteReference"/>
        </w:rPr>
        <w:footnoteReference w:id="19"/>
      </w:r>
    </w:p>
    <w:p w:rsidR="002047F7" w:rsidRDefault="002047F7" w:rsidP="00891FF3">
      <w:r>
        <w:rPr>
          <w:noProof/>
          <w:lang w:eastAsia="en-AU"/>
        </w:rPr>
        <w:drawing>
          <wp:inline distT="0" distB="0" distL="0" distR="0" wp14:anchorId="273338BB" wp14:editId="73142EA1">
            <wp:extent cx="5731510" cy="4749928"/>
            <wp:effectExtent l="0" t="0" r="2540" b="0"/>
            <wp:docPr id="89" name="Picture 89" descr="This schedule lists the fees set by the Minister for the registration of water licences, trades, approvals and other registry functions (and also certain land-related charges). The register is administered by Land and Property Information. " title="NSW Land and Property Information: Proposed fees for land title related products and services from 1 Jul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4749928"/>
                    </a:xfrm>
                    <a:prstGeom prst="rect">
                      <a:avLst/>
                    </a:prstGeom>
                  </pic:spPr>
                </pic:pic>
              </a:graphicData>
            </a:graphic>
          </wp:inline>
        </w:drawing>
      </w:r>
    </w:p>
    <w:p w:rsidR="00FB0343" w:rsidRPr="003F1051" w:rsidRDefault="00FB0343" w:rsidP="00A63D8E">
      <w:pPr>
        <w:pStyle w:val="Tabletitle"/>
      </w:pPr>
      <w:bookmarkStart w:id="25" w:name="ground"/>
      <w:bookmarkEnd w:id="25"/>
      <w:r w:rsidRPr="003F1051">
        <w:t>WaterNSW</w:t>
      </w:r>
      <w:r>
        <w:t xml:space="preserve">: Final charges – miscellaneous </w:t>
      </w:r>
      <w:r w:rsidR="001C3657">
        <w:t>2015−16</w:t>
      </w:r>
      <w:r w:rsidR="00155B04">
        <w:t xml:space="preserve"> ($</w:t>
      </w:r>
      <w:r w:rsidR="001C3657">
        <w:t>2015−16</w:t>
      </w:r>
      <w:r w:rsidR="00155B04">
        <w:t>)</w:t>
      </w:r>
    </w:p>
    <w:tbl>
      <w:tblPr>
        <w:tblStyle w:val="MediumGrid3"/>
        <w:tblW w:w="0" w:type="auto"/>
        <w:tblLook w:val="04A0" w:firstRow="1" w:lastRow="0" w:firstColumn="1" w:lastColumn="0" w:noHBand="0" w:noVBand="1"/>
      </w:tblPr>
      <w:tblGrid>
        <w:gridCol w:w="7763"/>
        <w:gridCol w:w="1441"/>
      </w:tblGrid>
      <w:tr w:rsidR="00FB0343" w:rsidRPr="00C966E4" w:rsidTr="0038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FB0343" w:rsidRPr="00C966E4" w:rsidRDefault="00FB0343" w:rsidP="0038301A">
            <w:pPr>
              <w:pStyle w:val="Tabletext"/>
            </w:pPr>
            <w:bookmarkStart w:id="26" w:name="_Toc418071313"/>
            <w:bookmarkStart w:id="27" w:name="_Toc418495326"/>
            <w:bookmarkStart w:id="28" w:name="_Toc447900571"/>
            <w:bookmarkStart w:id="29" w:name="_Toc449692773"/>
            <w:bookmarkStart w:id="30" w:name="_Toc449692969"/>
            <w:r w:rsidRPr="00C966E4">
              <w:t>Type of charge</w:t>
            </w:r>
          </w:p>
        </w:tc>
        <w:tc>
          <w:tcPr>
            <w:tcW w:w="1441" w:type="dxa"/>
          </w:tcPr>
          <w:p w:rsidR="00FB0343" w:rsidRPr="00C966E4" w:rsidRDefault="00FB0343" w:rsidP="0038301A">
            <w:pPr>
              <w:pStyle w:val="Tabletext-right"/>
              <w:cnfStyle w:val="100000000000" w:firstRow="1" w:lastRow="0" w:firstColumn="0" w:lastColumn="0" w:oddVBand="0" w:evenVBand="0" w:oddHBand="0" w:evenHBand="0" w:firstRowFirstColumn="0" w:firstRowLastColumn="0" w:lastRowFirstColumn="0" w:lastRowLastColumn="0"/>
            </w:pPr>
            <w:r w:rsidRPr="00C966E4">
              <w:t>Charge ($)</w:t>
            </w:r>
          </w:p>
        </w:tc>
      </w:tr>
      <w:tr w:rsidR="00FB0343" w:rsidRPr="00C966E4" w:rsidTr="0038301A">
        <w:tc>
          <w:tcPr>
            <w:cnfStyle w:val="001000000000" w:firstRow="0" w:lastRow="0" w:firstColumn="1" w:lastColumn="0" w:oddVBand="0" w:evenVBand="0" w:oddHBand="0" w:evenHBand="0" w:firstRowFirstColumn="0" w:firstRowLastColumn="0" w:lastRowFirstColumn="0" w:lastRowLastColumn="0"/>
            <w:tcW w:w="7763" w:type="dxa"/>
          </w:tcPr>
          <w:p w:rsidR="00FB0343" w:rsidRPr="00BD5248" w:rsidRDefault="00FB0343" w:rsidP="0038301A">
            <w:pPr>
              <w:pStyle w:val="Tabletext"/>
            </w:pPr>
            <w:r w:rsidRPr="00BD5248">
              <w:t xml:space="preserve">Charges for testing meter accuracy under dispute </w:t>
            </w:r>
          </w:p>
        </w:tc>
        <w:tc>
          <w:tcPr>
            <w:tcW w:w="1441" w:type="dxa"/>
          </w:tcPr>
          <w:p w:rsidR="00FB0343" w:rsidRPr="00BD5248" w:rsidRDefault="00FB0343" w:rsidP="0038301A">
            <w:pPr>
              <w:pStyle w:val="Tabletext-right"/>
              <w:cnfStyle w:val="000000000000" w:firstRow="0" w:lastRow="0" w:firstColumn="0" w:lastColumn="0" w:oddVBand="0" w:evenVBand="0" w:oddHBand="0" w:evenHBand="0" w:firstRowFirstColumn="0" w:firstRowLastColumn="0" w:lastRowFirstColumn="0" w:lastRowLastColumn="0"/>
            </w:pPr>
            <w:r w:rsidRPr="00BD5248">
              <w:t>1,688.13</w:t>
            </w:r>
          </w:p>
        </w:tc>
      </w:tr>
      <w:tr w:rsidR="00FB0343" w:rsidRPr="00C966E4" w:rsidTr="0038301A">
        <w:tc>
          <w:tcPr>
            <w:cnfStyle w:val="001000000000" w:firstRow="0" w:lastRow="0" w:firstColumn="1" w:lastColumn="0" w:oddVBand="0" w:evenVBand="0" w:oddHBand="0" w:evenHBand="0" w:firstRowFirstColumn="0" w:firstRowLastColumn="0" w:lastRowFirstColumn="0" w:lastRowLastColumn="0"/>
            <w:tcW w:w="7763" w:type="dxa"/>
          </w:tcPr>
          <w:p w:rsidR="00FB0343" w:rsidRPr="00BD5248" w:rsidRDefault="00FB0343" w:rsidP="0038301A">
            <w:pPr>
              <w:pStyle w:val="Tabletext"/>
            </w:pPr>
            <w:r w:rsidRPr="00BD5248">
              <w:t>Environmental gauging station charges (per annum)</w:t>
            </w:r>
          </w:p>
        </w:tc>
        <w:tc>
          <w:tcPr>
            <w:tcW w:w="1441" w:type="dxa"/>
          </w:tcPr>
          <w:p w:rsidR="00FB0343" w:rsidRPr="00BD5248" w:rsidRDefault="00FB0343" w:rsidP="0038301A">
            <w:pPr>
              <w:pStyle w:val="Tabletext-right"/>
              <w:cnfStyle w:val="000000000000" w:firstRow="0" w:lastRow="0" w:firstColumn="0" w:lastColumn="0" w:oddVBand="0" w:evenVBand="0" w:oddHBand="0" w:evenHBand="0" w:firstRowFirstColumn="0" w:firstRowLastColumn="0" w:lastRowFirstColumn="0" w:lastRowLastColumn="0"/>
            </w:pPr>
            <w:r w:rsidRPr="00BD5248">
              <w:t>8,675.73</w:t>
            </w:r>
          </w:p>
        </w:tc>
      </w:tr>
      <w:tr w:rsidR="00FB0343" w:rsidRPr="00C966E4" w:rsidTr="0038301A">
        <w:tc>
          <w:tcPr>
            <w:cnfStyle w:val="001000000000" w:firstRow="0" w:lastRow="0" w:firstColumn="1" w:lastColumn="0" w:oddVBand="0" w:evenVBand="0" w:oddHBand="0" w:evenHBand="0" w:firstRowFirstColumn="0" w:firstRowLastColumn="0" w:lastRowFirstColumn="0" w:lastRowLastColumn="0"/>
            <w:tcW w:w="7763" w:type="dxa"/>
          </w:tcPr>
          <w:p w:rsidR="00FB0343" w:rsidRPr="00BD5248" w:rsidRDefault="00FB0343" w:rsidP="0038301A">
            <w:pPr>
              <w:pStyle w:val="Tabletext"/>
            </w:pPr>
            <w:r w:rsidRPr="00BD5248">
              <w:t>Fish River connection charges</w:t>
            </w:r>
          </w:p>
        </w:tc>
        <w:tc>
          <w:tcPr>
            <w:tcW w:w="1441" w:type="dxa"/>
          </w:tcPr>
          <w:p w:rsidR="00FB0343" w:rsidRPr="00BD5248" w:rsidRDefault="00FB0343" w:rsidP="0038301A">
            <w:pPr>
              <w:pStyle w:val="Tabletext-right"/>
              <w:cnfStyle w:val="000000000000" w:firstRow="0" w:lastRow="0" w:firstColumn="0" w:lastColumn="0" w:oddVBand="0" w:evenVBand="0" w:oddHBand="0" w:evenHBand="0" w:firstRowFirstColumn="0" w:firstRowLastColumn="0" w:lastRowFirstColumn="0" w:lastRowLastColumn="0"/>
            </w:pPr>
            <w:r w:rsidRPr="00BD5248">
              <w:t>467.39</w:t>
            </w:r>
          </w:p>
        </w:tc>
      </w:tr>
      <w:tr w:rsidR="00FB0343" w:rsidRPr="00C966E4" w:rsidTr="0038301A">
        <w:tc>
          <w:tcPr>
            <w:cnfStyle w:val="001000000000" w:firstRow="0" w:lastRow="0" w:firstColumn="1" w:lastColumn="0" w:oddVBand="0" w:evenVBand="0" w:oddHBand="0" w:evenHBand="0" w:firstRowFirstColumn="0" w:firstRowLastColumn="0" w:lastRowFirstColumn="0" w:lastRowLastColumn="0"/>
            <w:tcW w:w="7763" w:type="dxa"/>
          </w:tcPr>
          <w:p w:rsidR="00FB0343" w:rsidRPr="00BD5248" w:rsidRDefault="00FB0343" w:rsidP="0038301A">
            <w:pPr>
              <w:pStyle w:val="Tabletext"/>
            </w:pPr>
            <w:r w:rsidRPr="00BD5248">
              <w:t>Fish River disconnection charges</w:t>
            </w:r>
          </w:p>
        </w:tc>
        <w:tc>
          <w:tcPr>
            <w:tcW w:w="1441" w:type="dxa"/>
          </w:tcPr>
          <w:p w:rsidR="00FB0343" w:rsidRPr="00BD5248" w:rsidRDefault="00FB0343" w:rsidP="0038301A">
            <w:pPr>
              <w:pStyle w:val="Tabletext-right"/>
              <w:cnfStyle w:val="000000000000" w:firstRow="0" w:lastRow="0" w:firstColumn="0" w:lastColumn="0" w:oddVBand="0" w:evenVBand="0" w:oddHBand="0" w:evenHBand="0" w:firstRowFirstColumn="0" w:firstRowLastColumn="0" w:lastRowFirstColumn="0" w:lastRowLastColumn="0"/>
            </w:pPr>
            <w:r w:rsidRPr="00BD5248">
              <w:t>259.65</w:t>
            </w:r>
          </w:p>
        </w:tc>
      </w:tr>
      <w:tr w:rsidR="00FB0343" w:rsidRPr="00C966E4" w:rsidTr="0038301A">
        <w:tc>
          <w:tcPr>
            <w:cnfStyle w:val="001000000000" w:firstRow="0" w:lastRow="0" w:firstColumn="1" w:lastColumn="0" w:oddVBand="0" w:evenVBand="0" w:oddHBand="0" w:evenHBand="0" w:firstRowFirstColumn="0" w:firstRowLastColumn="0" w:lastRowFirstColumn="0" w:lastRowLastColumn="0"/>
            <w:tcW w:w="7763" w:type="dxa"/>
          </w:tcPr>
          <w:p w:rsidR="00FB0343" w:rsidRPr="00BD5248" w:rsidRDefault="00FB0343" w:rsidP="0038301A">
            <w:pPr>
              <w:pStyle w:val="Tabletext"/>
            </w:pPr>
            <w:r w:rsidRPr="00BD5248">
              <w:t>Allocation trade processing – charge per application</w:t>
            </w:r>
          </w:p>
        </w:tc>
        <w:tc>
          <w:tcPr>
            <w:tcW w:w="1441" w:type="dxa"/>
          </w:tcPr>
          <w:p w:rsidR="00FB0343" w:rsidRPr="00BD5248" w:rsidRDefault="00FB0343" w:rsidP="0038301A">
            <w:pPr>
              <w:pStyle w:val="Tabletext-right"/>
              <w:cnfStyle w:val="000000000000" w:firstRow="0" w:lastRow="0" w:firstColumn="0" w:lastColumn="0" w:oddVBand="0" w:evenVBand="0" w:oddHBand="0" w:evenHBand="0" w:firstRowFirstColumn="0" w:firstRowLastColumn="0" w:lastRowFirstColumn="0" w:lastRowLastColumn="0"/>
            </w:pPr>
            <w:r w:rsidRPr="00BD5248">
              <w:t>38.50</w:t>
            </w:r>
          </w:p>
        </w:tc>
      </w:tr>
      <w:tr w:rsidR="00FB0343" w:rsidRPr="00C966E4" w:rsidTr="0038301A">
        <w:tc>
          <w:tcPr>
            <w:cnfStyle w:val="001000000000" w:firstRow="0" w:lastRow="0" w:firstColumn="1" w:lastColumn="0" w:oddVBand="0" w:evenVBand="0" w:oddHBand="0" w:evenHBand="0" w:firstRowFirstColumn="0" w:firstRowLastColumn="0" w:lastRowFirstColumn="0" w:lastRowLastColumn="0"/>
            <w:tcW w:w="7763" w:type="dxa"/>
          </w:tcPr>
          <w:p w:rsidR="00FB0343" w:rsidRPr="00BD5248" w:rsidRDefault="00FB0343" w:rsidP="0038301A">
            <w:pPr>
              <w:pStyle w:val="Tabletext"/>
            </w:pPr>
            <w:r w:rsidRPr="00BD5248">
              <w:t>Allocation trade processing – charge per ML of allocation traded</w:t>
            </w:r>
          </w:p>
        </w:tc>
        <w:tc>
          <w:tcPr>
            <w:tcW w:w="1441" w:type="dxa"/>
          </w:tcPr>
          <w:p w:rsidR="00FB0343" w:rsidRPr="00BD5248" w:rsidRDefault="00FB0343" w:rsidP="0038301A">
            <w:pPr>
              <w:pStyle w:val="Tabletext-right"/>
              <w:cnfStyle w:val="000000000000" w:firstRow="0" w:lastRow="0" w:firstColumn="0" w:lastColumn="0" w:oddVBand="0" w:evenVBand="0" w:oddHBand="0" w:evenHBand="0" w:firstRowFirstColumn="0" w:firstRowLastColumn="0" w:lastRowFirstColumn="0" w:lastRowLastColumn="0"/>
            </w:pPr>
            <w:r w:rsidRPr="00BD5248">
              <w:t>0.51</w:t>
            </w:r>
          </w:p>
        </w:tc>
      </w:tr>
      <w:tr w:rsidR="00FB0343" w:rsidRPr="00C966E4" w:rsidTr="0038301A">
        <w:tc>
          <w:tcPr>
            <w:cnfStyle w:val="001000000000" w:firstRow="0" w:lastRow="0" w:firstColumn="1" w:lastColumn="0" w:oddVBand="0" w:evenVBand="0" w:oddHBand="0" w:evenHBand="0" w:firstRowFirstColumn="0" w:firstRowLastColumn="0" w:lastRowFirstColumn="0" w:lastRowLastColumn="0"/>
            <w:tcW w:w="7763" w:type="dxa"/>
          </w:tcPr>
          <w:p w:rsidR="00FB0343" w:rsidRPr="00BD5248" w:rsidRDefault="00FB0343" w:rsidP="0038301A">
            <w:pPr>
              <w:pStyle w:val="Tabletext"/>
            </w:pPr>
            <w:r w:rsidRPr="00BD5248">
              <w:t>Allocation trade processing – cap on total charge</w:t>
            </w:r>
          </w:p>
        </w:tc>
        <w:tc>
          <w:tcPr>
            <w:tcW w:w="1441" w:type="dxa"/>
          </w:tcPr>
          <w:p w:rsidR="00FB0343" w:rsidRPr="00BD5248" w:rsidRDefault="00FB0343" w:rsidP="0038301A">
            <w:pPr>
              <w:pStyle w:val="Tabletext-right"/>
              <w:cnfStyle w:val="000000000000" w:firstRow="0" w:lastRow="0" w:firstColumn="0" w:lastColumn="0" w:oddVBand="0" w:evenVBand="0" w:oddHBand="0" w:evenHBand="0" w:firstRowFirstColumn="0" w:firstRowLastColumn="0" w:lastRowFirstColumn="0" w:lastRowLastColumn="0"/>
            </w:pPr>
            <w:r w:rsidRPr="00BD5248">
              <w:t>151.99</w:t>
            </w:r>
          </w:p>
        </w:tc>
      </w:tr>
      <w:tr w:rsidR="00FB0343" w:rsidRPr="00C966E4" w:rsidTr="0038301A">
        <w:tc>
          <w:tcPr>
            <w:cnfStyle w:val="001000000000" w:firstRow="0" w:lastRow="0" w:firstColumn="1" w:lastColumn="0" w:oddVBand="0" w:evenVBand="0" w:oddHBand="0" w:evenHBand="0" w:firstRowFirstColumn="0" w:firstRowLastColumn="0" w:lastRowFirstColumn="0" w:lastRowLastColumn="0"/>
            <w:tcW w:w="7763" w:type="dxa"/>
          </w:tcPr>
          <w:p w:rsidR="00FB0343" w:rsidRPr="00BD5248" w:rsidRDefault="00FB0343" w:rsidP="0038301A">
            <w:pPr>
              <w:pStyle w:val="Tabletext"/>
            </w:pPr>
            <w:r w:rsidRPr="00BD5248">
              <w:t>Yanco Creek levy</w:t>
            </w:r>
          </w:p>
        </w:tc>
        <w:tc>
          <w:tcPr>
            <w:tcW w:w="1441" w:type="dxa"/>
          </w:tcPr>
          <w:p w:rsidR="00FB0343" w:rsidRPr="00BD5248" w:rsidRDefault="00FB0343" w:rsidP="0038301A">
            <w:pPr>
              <w:pStyle w:val="Tabletext-right"/>
              <w:cnfStyle w:val="000000000000" w:firstRow="0" w:lastRow="0" w:firstColumn="0" w:lastColumn="0" w:oddVBand="0" w:evenVBand="0" w:oddHBand="0" w:evenHBand="0" w:firstRowFirstColumn="0" w:firstRowLastColumn="0" w:lastRowFirstColumn="0" w:lastRowLastColumn="0"/>
            </w:pPr>
            <w:r w:rsidRPr="00BD5248">
              <w:t>0.90</w:t>
            </w:r>
          </w:p>
        </w:tc>
      </w:tr>
    </w:tbl>
    <w:p w:rsidR="00897AA5" w:rsidRDefault="00897AA5" w:rsidP="00736EBA">
      <w:pPr>
        <w:pStyle w:val="Numbered111"/>
      </w:pPr>
      <w:bookmarkStart w:id="31" w:name="_Toc485303330"/>
      <w:r>
        <w:lastRenderedPageBreak/>
        <w:t>A</w:t>
      </w:r>
      <w:r w:rsidR="006C45A3">
        <w:t>ustralian Capital Territory</w:t>
      </w:r>
      <w:bookmarkEnd w:id="26"/>
      <w:bookmarkEnd w:id="27"/>
      <w:bookmarkEnd w:id="28"/>
      <w:bookmarkEnd w:id="29"/>
      <w:bookmarkEnd w:id="30"/>
      <w:bookmarkEnd w:id="31"/>
    </w:p>
    <w:p w:rsidR="00897AA5" w:rsidRDefault="00897AA5" w:rsidP="00897AA5">
      <w:r w:rsidRPr="005F7290">
        <w:t xml:space="preserve">In the </w:t>
      </w:r>
      <w:r>
        <w:t>ACT</w:t>
      </w:r>
      <w:r w:rsidRPr="005F7290">
        <w:t xml:space="preserve">, the </w:t>
      </w:r>
      <w:r w:rsidR="00755CBD">
        <w:t xml:space="preserve">Chief </w:t>
      </w:r>
      <w:r w:rsidR="00755CBD" w:rsidRPr="00004173">
        <w:t xml:space="preserve">Minister, Treasury and Economic Development </w:t>
      </w:r>
      <w:r w:rsidR="003E5140">
        <w:t>Directorate;</w:t>
      </w:r>
      <w:r w:rsidR="00755CBD">
        <w:t xml:space="preserve"> </w:t>
      </w:r>
      <w:r w:rsidR="00755CBD" w:rsidRPr="00BC06AC">
        <w:t>Territory and Municipal Services</w:t>
      </w:r>
      <w:r w:rsidR="00755CBD">
        <w:t xml:space="preserve"> Directorate</w:t>
      </w:r>
      <w:r w:rsidR="003E5140">
        <w:t>;</w:t>
      </w:r>
      <w:r w:rsidR="00755CBD">
        <w:t xml:space="preserve"> </w:t>
      </w:r>
      <w:r w:rsidRPr="005F7290">
        <w:t>Environment</w:t>
      </w:r>
      <w:r w:rsidR="00755CBD">
        <w:t xml:space="preserve">, </w:t>
      </w:r>
      <w:r>
        <w:t>Planning</w:t>
      </w:r>
      <w:r w:rsidRPr="005F7290">
        <w:t xml:space="preserve"> </w:t>
      </w:r>
      <w:r w:rsidR="00755CBD">
        <w:t xml:space="preserve">and Sustainable Development </w:t>
      </w:r>
      <w:r w:rsidRPr="005F7290">
        <w:t>Directorate (E</w:t>
      </w:r>
      <w:r>
        <w:t>P</w:t>
      </w:r>
      <w:r w:rsidR="00755CBD">
        <w:t>SD</w:t>
      </w:r>
      <w:r w:rsidRPr="005F7290">
        <w:t>D)</w:t>
      </w:r>
      <w:r w:rsidR="00477596" w:rsidDel="00477596">
        <w:rPr>
          <w:rStyle w:val="FootnoteReference"/>
        </w:rPr>
        <w:t xml:space="preserve"> </w:t>
      </w:r>
      <w:r w:rsidR="003E5140">
        <w:t>;</w:t>
      </w:r>
      <w:r w:rsidRPr="005F7290">
        <w:t xml:space="preserve"> the Environment Protection Authority and </w:t>
      </w:r>
      <w:r w:rsidR="00755CBD">
        <w:t>ICON</w:t>
      </w:r>
      <w:r w:rsidR="00755CBD" w:rsidRPr="005F7290">
        <w:t xml:space="preserve"> </w:t>
      </w:r>
      <w:r w:rsidRPr="005F7290">
        <w:t>Water</w:t>
      </w:r>
      <w:r>
        <w:rPr>
          <w:rStyle w:val="FootnoteReference"/>
        </w:rPr>
        <w:footnoteReference w:id="20"/>
      </w:r>
      <w:r w:rsidRPr="005F7290">
        <w:t xml:space="preserve"> undertake WPM activities.</w:t>
      </w:r>
    </w:p>
    <w:p w:rsidR="002C2DDB" w:rsidRDefault="002C2DDB" w:rsidP="00897AA5">
      <w:r>
        <w:t xml:space="preserve">WPM </w:t>
      </w:r>
      <w:r w:rsidR="00477596">
        <w:t xml:space="preserve">charges </w:t>
      </w:r>
      <w:r>
        <w:t xml:space="preserve">are set by the relevant Minister </w:t>
      </w:r>
      <w:r w:rsidR="00755CBD">
        <w:t xml:space="preserve">(currently the Minister for </w:t>
      </w:r>
      <w:r w:rsidR="00755CBD" w:rsidRPr="005F7290">
        <w:t>Environment</w:t>
      </w:r>
      <w:r w:rsidR="00755CBD">
        <w:t>, Planning</w:t>
      </w:r>
      <w:r w:rsidR="00755CBD" w:rsidRPr="005F7290">
        <w:t xml:space="preserve"> </w:t>
      </w:r>
      <w:r w:rsidR="00755CBD">
        <w:t>and Sustainable Development)</w:t>
      </w:r>
      <w:r w:rsidR="00755CBD">
        <w:rPr>
          <w:rStyle w:val="FootnoteReference"/>
        </w:rPr>
        <w:footnoteReference w:id="21"/>
      </w:r>
      <w:r w:rsidR="00755CBD">
        <w:t xml:space="preserve"> </w:t>
      </w:r>
      <w:r>
        <w:t xml:space="preserve">under section 107 of the </w:t>
      </w:r>
      <w:r w:rsidRPr="00D34D5C">
        <w:rPr>
          <w:rStyle w:val="Emphasis"/>
        </w:rPr>
        <w:t xml:space="preserve">Water </w:t>
      </w:r>
      <w:r w:rsidR="00755CBD" w:rsidRPr="00D34D5C">
        <w:rPr>
          <w:rStyle w:val="Emphasis"/>
        </w:rPr>
        <w:t xml:space="preserve">Resources </w:t>
      </w:r>
      <w:r w:rsidRPr="00D34D5C">
        <w:rPr>
          <w:rStyle w:val="Emphasis"/>
        </w:rPr>
        <w:t xml:space="preserve">Act 2007 </w:t>
      </w:r>
      <w:r>
        <w:t xml:space="preserve">(ACT). </w:t>
      </w:r>
    </w:p>
    <w:p w:rsidR="007E5B2B" w:rsidRDefault="00880DFD" w:rsidP="00880DFD">
      <w:r>
        <w:t xml:space="preserve">The Water Resources (Fees) Determination 2015 (No 1) (below) sets out the level of regulated WPM charges for </w:t>
      </w:r>
      <w:r w:rsidR="001C3657">
        <w:t>2015−16</w:t>
      </w:r>
      <w:r w:rsidR="009C2D32">
        <w:t>.</w:t>
      </w:r>
      <w:r>
        <w:t xml:space="preserve"> </w:t>
      </w:r>
    </w:p>
    <w:p w:rsidR="00085BF8" w:rsidRDefault="00085BF8" w:rsidP="00736EBA">
      <w:bookmarkStart w:id="32" w:name="_Toc418071314"/>
      <w:bookmarkStart w:id="33" w:name="_Toc418495327"/>
      <w:bookmarkStart w:id="34" w:name="_Toc447900572"/>
      <w:bookmarkStart w:id="35" w:name="_Toc449692774"/>
      <w:bookmarkStart w:id="36" w:name="_Toc449692970"/>
      <w:r>
        <w:rPr>
          <w:noProof/>
          <w:lang w:eastAsia="en-AU"/>
        </w:rPr>
        <w:lastRenderedPageBreak/>
        <w:drawing>
          <wp:inline distT="0" distB="0" distL="0" distR="0" wp14:anchorId="684DC861" wp14:editId="0B0D0EAD">
            <wp:extent cx="5731510" cy="7136832"/>
            <wp:effectExtent l="0" t="0" r="2540" b="6985"/>
            <wp:docPr id="1" name="Picture 1" descr="This regulation sets out the level of regulated water planning and management charges in the ACT for 2015-16." title="Water Resources (Fees) Determination 2015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5731510" cy="7136832"/>
                    </a:xfrm>
                    <a:prstGeom prst="rect">
                      <a:avLst/>
                    </a:prstGeom>
                  </pic:spPr>
                </pic:pic>
              </a:graphicData>
            </a:graphic>
          </wp:inline>
        </w:drawing>
      </w:r>
    </w:p>
    <w:p w:rsidR="00085BF8" w:rsidRDefault="00085BF8" w:rsidP="00085BF8">
      <w:r>
        <w:rPr>
          <w:noProof/>
          <w:lang w:eastAsia="en-AU"/>
        </w:rPr>
        <w:lastRenderedPageBreak/>
        <w:drawing>
          <wp:inline distT="0" distB="0" distL="0" distR="0" wp14:anchorId="0EF8C9BC" wp14:editId="795FDE53">
            <wp:extent cx="5731510" cy="6765754"/>
            <wp:effectExtent l="0" t="0" r="2540" b="0"/>
            <wp:docPr id="44" name="Picture 2" descr="This regulation sets out the level of regulated water planning and management charges in the ACT for 2015-16." title="Water Resources (Fees) Determination 2015 (No 1),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stretch>
                      <a:fillRect/>
                    </a:stretch>
                  </pic:blipFill>
                  <pic:spPr>
                    <a:xfrm>
                      <a:off x="0" y="0"/>
                      <a:ext cx="5731510" cy="6765754"/>
                    </a:xfrm>
                    <a:prstGeom prst="rect">
                      <a:avLst/>
                    </a:prstGeom>
                  </pic:spPr>
                </pic:pic>
              </a:graphicData>
            </a:graphic>
          </wp:inline>
        </w:drawing>
      </w:r>
    </w:p>
    <w:p w:rsidR="00085BF8" w:rsidRDefault="00085BF8" w:rsidP="00085BF8">
      <w:r>
        <w:rPr>
          <w:noProof/>
          <w:lang w:eastAsia="en-AU"/>
        </w:rPr>
        <w:lastRenderedPageBreak/>
        <w:drawing>
          <wp:inline distT="0" distB="0" distL="0" distR="0" wp14:anchorId="6DE11CB9" wp14:editId="7017C7BC">
            <wp:extent cx="5731510" cy="7488928"/>
            <wp:effectExtent l="0" t="0" r="2540" b="0"/>
            <wp:docPr id="46" name="Picture 3" descr="This regulation sets out the level of regulated water planning and management charges in the ACT for 2015-16." title="Water Resources (Fees) Determination 2015 (No 1),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5731510" cy="7488928"/>
                    </a:xfrm>
                    <a:prstGeom prst="rect">
                      <a:avLst/>
                    </a:prstGeom>
                  </pic:spPr>
                </pic:pic>
              </a:graphicData>
            </a:graphic>
          </wp:inline>
        </w:drawing>
      </w:r>
    </w:p>
    <w:p w:rsidR="00085BF8" w:rsidRDefault="00085BF8" w:rsidP="00085BF8">
      <w:r>
        <w:rPr>
          <w:noProof/>
          <w:lang w:eastAsia="en-AU"/>
        </w:rPr>
        <w:lastRenderedPageBreak/>
        <w:drawing>
          <wp:inline distT="0" distB="0" distL="0" distR="0" wp14:anchorId="5B56721A" wp14:editId="1E644490">
            <wp:extent cx="5731510" cy="6812292"/>
            <wp:effectExtent l="0" t="0" r="2540" b="7620"/>
            <wp:docPr id="47" name="Picture 4" descr="This regulation sets out the level of regulated water planning and management charges in the ACT for 2015-16." title="Water Resources (Fees) Determination 2015 (No 1), Pag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5731510" cy="6812292"/>
                    </a:xfrm>
                    <a:prstGeom prst="rect">
                      <a:avLst/>
                    </a:prstGeom>
                  </pic:spPr>
                </pic:pic>
              </a:graphicData>
            </a:graphic>
          </wp:inline>
        </w:drawing>
      </w:r>
    </w:p>
    <w:p w:rsidR="00897AA5" w:rsidRDefault="00897AA5" w:rsidP="00736EBA">
      <w:pPr>
        <w:pStyle w:val="Numbered111"/>
      </w:pPr>
      <w:bookmarkStart w:id="37" w:name="_Ref483918093"/>
      <w:bookmarkStart w:id="38" w:name="_Toc485303331"/>
      <w:r>
        <w:t>Victoria</w:t>
      </w:r>
      <w:bookmarkEnd w:id="32"/>
      <w:bookmarkEnd w:id="33"/>
      <w:bookmarkEnd w:id="34"/>
      <w:bookmarkEnd w:id="35"/>
      <w:bookmarkEnd w:id="36"/>
      <w:bookmarkEnd w:id="37"/>
      <w:bookmarkEnd w:id="38"/>
    </w:p>
    <w:p w:rsidR="00897AA5" w:rsidRDefault="00897AA5" w:rsidP="00897AA5">
      <w:r w:rsidRPr="005F7290">
        <w:t xml:space="preserve">In Victoria, WPM activities are carried out by </w:t>
      </w:r>
      <w:r w:rsidR="0056402C">
        <w:t xml:space="preserve">a variety of </w:t>
      </w:r>
      <w:r w:rsidR="009F05E8">
        <w:t>entities</w:t>
      </w:r>
      <w:r w:rsidR="0056402C">
        <w:t>:</w:t>
      </w:r>
      <w:r w:rsidRPr="005F7290">
        <w:t xml:space="preserve"> </w:t>
      </w:r>
    </w:p>
    <w:p w:rsidR="006E2024" w:rsidRPr="00F6221D" w:rsidRDefault="0056402C" w:rsidP="00DA47C0">
      <w:pPr>
        <w:pStyle w:val="Bulletpoint"/>
      </w:pPr>
      <w:bookmarkStart w:id="39" w:name="_Toc418071315"/>
      <w:bookmarkStart w:id="40" w:name="_Toc418495328"/>
      <w:bookmarkStart w:id="41" w:name="_Toc447900573"/>
      <w:bookmarkStart w:id="42" w:name="_Toc449692775"/>
      <w:bookmarkStart w:id="43" w:name="_Toc449692971"/>
      <w:r w:rsidRPr="00F6221D">
        <w:t>The Department of Environment, Land, Water and Planning (DELWP) manages groundwater, catchments and waterways, infrastructure, water saving and re-use projects, flood management, governance and water legislation.</w:t>
      </w:r>
      <w:r w:rsidR="00DE6E2E" w:rsidRPr="00F6221D">
        <w:t xml:space="preserve"> The funding of these activities </w:t>
      </w:r>
      <w:r w:rsidR="004645BF" w:rsidRPr="00F6221D">
        <w:t>largely</w:t>
      </w:r>
      <w:r w:rsidR="00DE6E2E" w:rsidRPr="00F6221D">
        <w:t xml:space="preserve"> comes from the ‘Environmental Contribution’</w:t>
      </w:r>
      <w:r w:rsidR="002B06BF" w:rsidRPr="00F6221D">
        <w:t>.</w:t>
      </w:r>
      <w:r w:rsidR="00DE6E2E" w:rsidRPr="00F6221D">
        <w:t xml:space="preserve"> The Victorian Environmental Contribution is set by the Minister, under a Ministerial Order-in-Council pursuant to the </w:t>
      </w:r>
      <w:r w:rsidR="00DE6E2E" w:rsidRPr="00F90601">
        <w:rPr>
          <w:rStyle w:val="Emphasis"/>
        </w:rPr>
        <w:t>Water Industry Act 1994</w:t>
      </w:r>
      <w:r w:rsidR="00DE6E2E" w:rsidRPr="00F6221D">
        <w:t xml:space="preserve">, as a fixed percentage of the revenue raised </w:t>
      </w:r>
      <w:r w:rsidR="00DE6E2E" w:rsidRPr="00F6221D">
        <w:lastRenderedPageBreak/>
        <w:t>from the allowed revenue of water authorities (5 per cent of revenue from urban water authorities and 2 per cent of revenue from rural water authorities respectively).</w:t>
      </w:r>
      <w:r w:rsidR="00DE6E2E" w:rsidRPr="00F90601">
        <w:rPr>
          <w:rStyle w:val="FootnoteReference"/>
        </w:rPr>
        <w:footnoteReference w:id="22"/>
      </w:r>
      <w:r w:rsidR="00DE6E2E" w:rsidRPr="00F90601">
        <w:rPr>
          <w:rStyle w:val="FootnoteReference"/>
        </w:rPr>
        <w:t xml:space="preserve"> </w:t>
      </w:r>
    </w:p>
    <w:p w:rsidR="00F6647B" w:rsidRPr="00F6221D" w:rsidRDefault="00F6647B" w:rsidP="00DA47C0">
      <w:pPr>
        <w:pStyle w:val="Bulletpoint"/>
      </w:pPr>
      <w:r w:rsidRPr="00F6221D">
        <w:t>Local water authorities (GMW, LMW and GWMW) (by delegation from the Minister) are the approval authorit</w:t>
      </w:r>
      <w:r w:rsidR="00761B24" w:rsidRPr="00F6221D">
        <w:t>ies</w:t>
      </w:r>
      <w:r w:rsidRPr="00F6221D">
        <w:t xml:space="preserve"> for water share</w:t>
      </w:r>
      <w:r w:rsidR="00761B24" w:rsidRPr="00F6221D">
        <w:t xml:space="preserve"> trades and similar </w:t>
      </w:r>
      <w:r w:rsidRPr="00F6221D">
        <w:t>dealings</w:t>
      </w:r>
      <w:r w:rsidR="00761B24" w:rsidRPr="00F6221D">
        <w:t>,</w:t>
      </w:r>
      <w:r w:rsidRPr="00F6221D">
        <w:t xml:space="preserve"> such as transferring, dividing, consolidating, issuing and cancelling a water share</w:t>
      </w:r>
      <w:r w:rsidR="00761B24" w:rsidRPr="00F6221D">
        <w:t>,</w:t>
      </w:r>
      <w:r w:rsidRPr="00F6221D">
        <w:t xml:space="preserve"> and </w:t>
      </w:r>
      <w:r w:rsidR="00761B24" w:rsidRPr="00F6221D">
        <w:t xml:space="preserve">for approving </w:t>
      </w:r>
      <w:r w:rsidRPr="00F6221D">
        <w:t xml:space="preserve">the trade of water allocations. </w:t>
      </w:r>
      <w:r w:rsidR="00580647" w:rsidRPr="00F6221D">
        <w:t xml:space="preserve">Most of these transactions </w:t>
      </w:r>
      <w:r w:rsidR="00FC0FD4" w:rsidRPr="00F6221D">
        <w:t>must be registered with the Victoria Water Register</w:t>
      </w:r>
      <w:r w:rsidR="00535CB6" w:rsidRPr="00F6221D">
        <w:t xml:space="preserve"> to take effect</w:t>
      </w:r>
      <w:r w:rsidR="00FC0FD4" w:rsidRPr="00F6221D">
        <w:t>.</w:t>
      </w:r>
      <w:r w:rsidR="00580647" w:rsidRPr="00F90601">
        <w:rPr>
          <w:rStyle w:val="FootnoteReference"/>
        </w:rPr>
        <w:footnoteReference w:id="23"/>
      </w:r>
      <w:r w:rsidR="00FC0FD4" w:rsidRPr="00F90601">
        <w:rPr>
          <w:rStyle w:val="FootnoteReference"/>
        </w:rPr>
        <w:t xml:space="preserve"> </w:t>
      </w:r>
      <w:r w:rsidRPr="00F6221D">
        <w:t>Maximum application fees for these approvals are set by the Minister under the Water (Resource Management) Regulations 2007. These are set in terms of fee units</w:t>
      </w:r>
      <w:r w:rsidR="004B3D6E" w:rsidRPr="00F6221D">
        <w:t>,</w:t>
      </w:r>
      <w:r w:rsidRPr="00F6221D">
        <w:t xml:space="preserve"> set in accordance with the </w:t>
      </w:r>
      <w:r w:rsidRPr="00F90601">
        <w:rPr>
          <w:rStyle w:val="Emphasis"/>
        </w:rPr>
        <w:t>Victorian Monetary Units Act 2004</w:t>
      </w:r>
      <w:r w:rsidRPr="00F6221D">
        <w:t xml:space="preserve">. </w:t>
      </w:r>
    </w:p>
    <w:p w:rsidR="00F6647B" w:rsidRPr="00F6221D" w:rsidRDefault="00C21EF9" w:rsidP="00DA47C0">
      <w:pPr>
        <w:pStyle w:val="Bulletpoint"/>
      </w:pPr>
      <w:r w:rsidRPr="00F6221D">
        <w:t>The</w:t>
      </w:r>
      <w:r w:rsidR="00F6647B" w:rsidRPr="00F6221D">
        <w:t xml:space="preserve"> local water authorities also undertake various other miscellaneous WPM activities. These ‘miscellaneous services are part of a range of prescribed services under the Water Industry Regulatory Order (WIRO) for non-infrastructure related services and under the Water Charge (Infrastructure) Rules (WCIR) for infrastructure related services, and are subject to price regulation by the [Essential Services] Commission [Victoria]’.</w:t>
      </w:r>
      <w:r w:rsidR="00F6647B" w:rsidRPr="00F90601">
        <w:rPr>
          <w:rStyle w:val="FootnoteReference"/>
        </w:rPr>
        <w:footnoteReference w:id="24"/>
      </w:r>
    </w:p>
    <w:p w:rsidR="00FC0FD4" w:rsidRPr="00F6221D" w:rsidRDefault="00845049" w:rsidP="00DA47C0">
      <w:pPr>
        <w:pStyle w:val="Bulletpoint"/>
      </w:pPr>
      <w:r w:rsidRPr="00F6221D">
        <w:t xml:space="preserve">The </w:t>
      </w:r>
      <w:r w:rsidR="00FE20B9" w:rsidRPr="00F6221D">
        <w:t xml:space="preserve">Victorian Water </w:t>
      </w:r>
      <w:r w:rsidR="005E23FC" w:rsidRPr="00F6221D">
        <w:t xml:space="preserve">Register </w:t>
      </w:r>
      <w:r w:rsidR="00DE1A1E" w:rsidRPr="00F6221D">
        <w:t xml:space="preserve">(VWR) </w:t>
      </w:r>
      <w:r w:rsidR="00C21EF9" w:rsidRPr="00F6221D">
        <w:t>processes</w:t>
      </w:r>
      <w:r w:rsidR="00FC0FD4" w:rsidRPr="00F6221D">
        <w:t xml:space="preserve"> the lodgement of water share dealings </w:t>
      </w:r>
      <w:r w:rsidR="00761B24" w:rsidRPr="00F6221D">
        <w:t xml:space="preserve">approved </w:t>
      </w:r>
      <w:r w:rsidR="00FC0FD4" w:rsidRPr="00F6221D">
        <w:t xml:space="preserve">by local water authorities. Maximum application fees for these </w:t>
      </w:r>
      <w:r w:rsidR="00CD60F0" w:rsidRPr="00F6221D">
        <w:t>lodgements</w:t>
      </w:r>
      <w:r w:rsidR="00FC0FD4" w:rsidRPr="00F6221D">
        <w:t xml:space="preserve"> are set by the Minister under the Water (Resource Management) Regulations 2007. These are set in terms of fee units</w:t>
      </w:r>
      <w:r w:rsidR="004B3D6E" w:rsidRPr="00F6221D">
        <w:t>, set</w:t>
      </w:r>
      <w:r w:rsidR="00FC0FD4" w:rsidRPr="00F6221D">
        <w:t xml:space="preserve"> in accordance with the </w:t>
      </w:r>
      <w:r w:rsidR="00FC0FD4" w:rsidRPr="00F90601">
        <w:rPr>
          <w:rStyle w:val="Emphasis"/>
        </w:rPr>
        <w:t>Victorian Monetary Units Act 2004</w:t>
      </w:r>
      <w:r w:rsidR="00FC0FD4" w:rsidRPr="00F6221D">
        <w:t xml:space="preserve">. </w:t>
      </w:r>
    </w:p>
    <w:p w:rsidR="00FC0FD4" w:rsidRPr="00F6221D" w:rsidRDefault="00FC0FD4" w:rsidP="00DA47C0">
      <w:pPr>
        <w:pStyle w:val="Bulletpoint"/>
      </w:pPr>
      <w:r w:rsidRPr="00F6221D">
        <w:t xml:space="preserve">Further activities are delegated to catchment management authorities and the Environment Protection Authority. These catchment management authorities receive funds from local water </w:t>
      </w:r>
      <w:r w:rsidR="00DE6E2E" w:rsidRPr="00F6221D">
        <w:t xml:space="preserve">authorities </w:t>
      </w:r>
      <w:r w:rsidRPr="00F6221D">
        <w:t>for the purpose of salinity management. The charges</w:t>
      </w:r>
      <w:r w:rsidR="00EF744D" w:rsidRPr="00F6221D">
        <w:footnoteReference w:id="25"/>
      </w:r>
      <w:r w:rsidRPr="00F6221D">
        <w:t xml:space="preserve"> which raise these salinity management funds are set in accordance with the Victorian Government’s </w:t>
      </w:r>
      <w:r w:rsidRPr="00F90601">
        <w:rPr>
          <w:rStyle w:val="Emphasis"/>
        </w:rPr>
        <w:t>Policies for Managing Water-Use Licences in Salinity Impact Zones</w:t>
      </w:r>
      <w:r w:rsidRPr="00F6221D">
        <w:t>. These charges were set in 2006</w:t>
      </w:r>
      <w:r w:rsidR="00845049" w:rsidRPr="00F6221D">
        <w:t>-</w:t>
      </w:r>
      <w:r w:rsidRPr="00F6221D">
        <w:t>07 and have increased by CPI since that time.</w:t>
      </w:r>
      <w:r w:rsidRPr="00F90601">
        <w:rPr>
          <w:rStyle w:val="FootnoteReference"/>
        </w:rPr>
        <w:footnoteReference w:id="26"/>
      </w:r>
      <w:r w:rsidRPr="00F90601">
        <w:rPr>
          <w:rStyle w:val="FootnoteReference"/>
        </w:rPr>
        <w:t xml:space="preserve"> </w:t>
      </w:r>
    </w:p>
    <w:p w:rsidR="00FE20B9" w:rsidRPr="00FE20B9" w:rsidRDefault="003C3F01" w:rsidP="003F1051">
      <w:r>
        <w:t>WPM charges for the VWR, and certain rural water corporations (GMW, LMW</w:t>
      </w:r>
      <w:r w:rsidR="00DE1A1E">
        <w:t>,</w:t>
      </w:r>
      <w:r>
        <w:t xml:space="preserve"> GWMW</w:t>
      </w:r>
      <w:r w:rsidR="00DE1A1E">
        <w:t xml:space="preserve"> and Coliban Water</w:t>
      </w:r>
      <w:r>
        <w:t xml:space="preserve">) </w:t>
      </w:r>
      <w:r w:rsidR="004B5636">
        <w:t>are</w:t>
      </w:r>
      <w:r>
        <w:t xml:space="preserve"> set out below.</w:t>
      </w:r>
    </w:p>
    <w:p w:rsidR="001878FA" w:rsidRDefault="001878FA">
      <w:pPr>
        <w:rPr>
          <w:b/>
          <w:szCs w:val="20"/>
        </w:rPr>
      </w:pPr>
      <w:r>
        <w:br w:type="page"/>
      </w:r>
    </w:p>
    <w:p w:rsidR="00085BF8" w:rsidRDefault="00085BF8" w:rsidP="00A63D8E">
      <w:pPr>
        <w:pStyle w:val="Tabletitle"/>
      </w:pPr>
      <w:r w:rsidRPr="00496331">
        <w:lastRenderedPageBreak/>
        <w:t>DELWP</w:t>
      </w:r>
      <w:r w:rsidR="003C3F01" w:rsidRPr="00496331">
        <w:t xml:space="preserve">/Victorian Water Register Fees </w:t>
      </w:r>
      <w:r w:rsidR="001C3657">
        <w:t>2015−16</w:t>
      </w:r>
    </w:p>
    <w:p w:rsidR="001878FA" w:rsidRPr="00085BF8" w:rsidRDefault="001878FA" w:rsidP="00A63D8E">
      <w:pPr>
        <w:pStyle w:val="Tabletitle"/>
      </w:pPr>
      <w:r>
        <w:rPr>
          <w:noProof/>
          <w:lang w:eastAsia="en-AU"/>
        </w:rPr>
        <w:drawing>
          <wp:anchor distT="0" distB="0" distL="114300" distR="114300" simplePos="0" relativeHeight="251667456" behindDoc="0" locked="0" layoutInCell="1" allowOverlap="1" wp14:anchorId="52101BD5" wp14:editId="4F089C9C">
            <wp:simplePos x="0" y="0"/>
            <wp:positionH relativeFrom="column">
              <wp:posOffset>152400</wp:posOffset>
            </wp:positionH>
            <wp:positionV relativeFrom="paragraph">
              <wp:posOffset>165100</wp:posOffset>
            </wp:positionV>
            <wp:extent cx="5734685" cy="7686040"/>
            <wp:effectExtent l="0" t="0" r="0" b="0"/>
            <wp:wrapSquare wrapText="bothSides"/>
            <wp:docPr id="5" name="Picture 1" descr="Listed below are the maximum charges that local water authorities may charge their customers for certain application-based transactions (for example, applying to transfer a water share or applying for a limited term transfer). These maximum charges are set by the Minister." title="DELWP/Victorian Water Register Fe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34685" cy="7686040"/>
                    </a:xfrm>
                    <a:prstGeom prst="rect">
                      <a:avLst/>
                    </a:prstGeom>
                  </pic:spPr>
                </pic:pic>
              </a:graphicData>
            </a:graphic>
            <wp14:sizeRelH relativeFrom="page">
              <wp14:pctWidth>0</wp14:pctWidth>
            </wp14:sizeRelH>
            <wp14:sizeRelV relativeFrom="page">
              <wp14:pctHeight>0</wp14:pctHeight>
            </wp14:sizeRelV>
          </wp:anchor>
        </w:drawing>
      </w:r>
    </w:p>
    <w:p w:rsidR="00085BF8" w:rsidRDefault="00085BF8" w:rsidP="00736EBA">
      <w:r>
        <w:rPr>
          <w:noProof/>
          <w:lang w:eastAsia="en-AU"/>
        </w:rPr>
        <w:lastRenderedPageBreak/>
        <w:drawing>
          <wp:inline distT="0" distB="0" distL="0" distR="0" wp14:anchorId="186CEB89" wp14:editId="25949899">
            <wp:extent cx="5731510" cy="7878377"/>
            <wp:effectExtent l="0" t="0" r="2540" b="8890"/>
            <wp:docPr id="49" name="Picture 2" descr="Listed is information on the maximum charges that local water authorities may charge their customers for certain application-based transactions (for example, applying to transfer a water share or applying for a limited term transfer).&#10;&#10;Also below are the charges the Victorian Water Register will charge for the lodgment fo certain documents (for example, for the transfer of a water share or the mortgage of the water share).&#10;&#10;The maximum amounts for both sets of charges are set by the Minister." title="DELWP/Victorian Water Register Fees 2015-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stretch>
                      <a:fillRect/>
                    </a:stretch>
                  </pic:blipFill>
                  <pic:spPr>
                    <a:xfrm>
                      <a:off x="0" y="0"/>
                      <a:ext cx="5731510" cy="7878377"/>
                    </a:xfrm>
                    <a:prstGeom prst="rect">
                      <a:avLst/>
                    </a:prstGeom>
                  </pic:spPr>
                </pic:pic>
              </a:graphicData>
            </a:graphic>
          </wp:inline>
        </w:drawing>
      </w:r>
    </w:p>
    <w:p w:rsidR="00085BF8" w:rsidRPr="00085BF8" w:rsidRDefault="00085BF8" w:rsidP="00085BF8">
      <w:r>
        <w:rPr>
          <w:noProof/>
          <w:lang w:eastAsia="en-AU"/>
        </w:rPr>
        <w:lastRenderedPageBreak/>
        <w:drawing>
          <wp:inline distT="0" distB="0" distL="0" distR="0" wp14:anchorId="50AEF767" wp14:editId="635611BE">
            <wp:extent cx="5410835" cy="8229600"/>
            <wp:effectExtent l="0" t="0" r="0" b="0"/>
            <wp:docPr id="50" name="Picture 3" descr="Listed are the charges the Victorian Water Register will charge for the lodgment fo certain documents (for example, the transfer of                                                                                                                                                                                                                                                                                                                                                                                                                                                                                                                                                              a water share or the mortgage of the water share).&#10;&#10;Both the application and lodgment charges are set by the MInister.&#10;" title="DELWP/Victorian Water Register Fees 2015-16,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5410835" cy="8229600"/>
                    </a:xfrm>
                    <a:prstGeom prst="rect">
                      <a:avLst/>
                    </a:prstGeom>
                  </pic:spPr>
                </pic:pic>
              </a:graphicData>
            </a:graphic>
          </wp:inline>
        </w:drawing>
      </w:r>
    </w:p>
    <w:p w:rsidR="003207E0" w:rsidRDefault="003207E0" w:rsidP="00891FF3"/>
    <w:p w:rsidR="00BC5C37" w:rsidRPr="007654DA" w:rsidRDefault="00726926" w:rsidP="00891FF3">
      <w:pPr>
        <w:pStyle w:val="Tabletitle"/>
      </w:pPr>
      <w:r w:rsidRPr="00891FF3">
        <w:lastRenderedPageBreak/>
        <w:t xml:space="preserve">GMW - </w:t>
      </w:r>
      <w:r w:rsidR="00BC5C37" w:rsidRPr="00891FF3">
        <w:t>Information on water planning and management charges levied by GMW (Miscellaneous Charges)</w:t>
      </w:r>
    </w:p>
    <w:p w:rsidR="00B61F9B" w:rsidRPr="00B61F9B" w:rsidRDefault="00BC5C37" w:rsidP="00891FF3">
      <w:r>
        <w:rPr>
          <w:noProof/>
          <w:lang w:eastAsia="en-AU"/>
        </w:rPr>
        <w:drawing>
          <wp:inline distT="0" distB="0" distL="0" distR="0" wp14:anchorId="77F3925E" wp14:editId="56431303">
            <wp:extent cx="5723906" cy="8039595"/>
            <wp:effectExtent l="0" t="0" r="0" b="0"/>
            <wp:docPr id="96" name="Picture 1" descr="This schedule lists the water planning and management charges levied by Goulburn-Murray Water on their non-urban customers." title="Information on water planning and management charges levied by GM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5731510" cy="8050275"/>
                    </a:xfrm>
                    <a:prstGeom prst="rect">
                      <a:avLst/>
                    </a:prstGeom>
                  </pic:spPr>
                </pic:pic>
              </a:graphicData>
            </a:graphic>
          </wp:inline>
        </w:drawing>
      </w:r>
    </w:p>
    <w:p w:rsidR="00DE1A1E" w:rsidRDefault="00DE1A1E" w:rsidP="00891FF3">
      <w:pPr>
        <w:rPr>
          <w:szCs w:val="20"/>
        </w:rPr>
      </w:pPr>
      <w:r>
        <w:br w:type="page"/>
      </w:r>
    </w:p>
    <w:p w:rsidR="00BF443F" w:rsidRDefault="00BF443F" w:rsidP="00736EBA">
      <w:pPr>
        <w:pStyle w:val="Tabletitle"/>
      </w:pPr>
      <w:r>
        <w:lastRenderedPageBreak/>
        <w:t xml:space="preserve">Lower Murray Water – Water Planning and Management Charges for </w:t>
      </w:r>
      <w:r w:rsidR="001C3657">
        <w:t>2015−16</w:t>
      </w:r>
      <w:r>
        <w:t xml:space="preserve"> </w:t>
      </w:r>
    </w:p>
    <w:tbl>
      <w:tblPr>
        <w:tblW w:w="0" w:type="auto"/>
        <w:tblInd w:w="-43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455"/>
        <w:gridCol w:w="6219"/>
      </w:tblGrid>
      <w:tr w:rsidR="00FC2DE4" w:rsidRPr="007264A8" w:rsidTr="00B33E47">
        <w:tc>
          <w:tcPr>
            <w:tcW w:w="3517" w:type="dxa"/>
            <w:tcBorders>
              <w:top w:val="single" w:sz="12" w:space="0" w:color="auto"/>
              <w:bottom w:val="single" w:sz="12" w:space="0" w:color="auto"/>
            </w:tcBorders>
            <w:shd w:val="clear" w:color="auto" w:fill="F3F3F3"/>
          </w:tcPr>
          <w:p w:rsidR="00FC2DE4" w:rsidRPr="00891FF3" w:rsidRDefault="00FC2DE4" w:rsidP="00B33E47">
            <w:pPr>
              <w:rPr>
                <w:rStyle w:val="Strong"/>
              </w:rPr>
            </w:pPr>
            <w:r w:rsidRPr="00891FF3">
              <w:rPr>
                <w:rStyle w:val="Strong"/>
              </w:rPr>
              <w:t>Information requirement</w:t>
            </w:r>
          </w:p>
        </w:tc>
        <w:tc>
          <w:tcPr>
            <w:tcW w:w="6341" w:type="dxa"/>
            <w:tcBorders>
              <w:top w:val="single" w:sz="12" w:space="0" w:color="auto"/>
              <w:bottom w:val="single" w:sz="12" w:space="0" w:color="auto"/>
            </w:tcBorders>
            <w:shd w:val="clear" w:color="auto" w:fill="F3F3F3"/>
          </w:tcPr>
          <w:p w:rsidR="00FC2DE4" w:rsidRPr="00891FF3" w:rsidRDefault="00FC2DE4" w:rsidP="00B33E47">
            <w:pPr>
              <w:rPr>
                <w:rStyle w:val="Strong"/>
              </w:rPr>
            </w:pPr>
            <w:r w:rsidRPr="00891FF3">
              <w:rPr>
                <w:rStyle w:val="Strong"/>
              </w:rPr>
              <w:t>Relevant information</w:t>
            </w:r>
          </w:p>
        </w:tc>
      </w:tr>
      <w:tr w:rsidR="00FC2DE4" w:rsidRPr="007264A8" w:rsidTr="00B33E47">
        <w:tc>
          <w:tcPr>
            <w:tcW w:w="3517" w:type="dxa"/>
            <w:vMerge w:val="restart"/>
            <w:tcBorders>
              <w:top w:val="single" w:sz="12" w:space="0" w:color="auto"/>
            </w:tcBorders>
            <w:shd w:val="clear" w:color="auto" w:fill="auto"/>
          </w:tcPr>
          <w:p w:rsidR="00FC2DE4" w:rsidRPr="00C76146" w:rsidRDefault="00FC2DE4" w:rsidP="00B33E47">
            <w:r w:rsidRPr="00C76146">
              <w:t xml:space="preserve">The name or a description of the regulated charge </w:t>
            </w:r>
          </w:p>
        </w:tc>
        <w:tc>
          <w:tcPr>
            <w:tcW w:w="6341" w:type="dxa"/>
            <w:tcBorders>
              <w:top w:val="single" w:sz="12" w:space="0" w:color="auto"/>
            </w:tcBorders>
            <w:shd w:val="clear" w:color="auto" w:fill="auto"/>
          </w:tcPr>
          <w:p w:rsidR="00FC2DE4" w:rsidRPr="00C76146" w:rsidRDefault="00FC2DE4" w:rsidP="00B33E47">
            <w:r w:rsidRPr="00C76146">
              <w:t xml:space="preserve">Transaction fees for applications to </w:t>
            </w:r>
            <w:r>
              <w:t xml:space="preserve">Lower Murray Water </w:t>
            </w:r>
            <w:r w:rsidRPr="00C76146">
              <w:t>made under the</w:t>
            </w:r>
            <w:r>
              <w:t xml:space="preserve"> </w:t>
            </w:r>
            <w:bookmarkStart w:id="44" w:name="OLE_LINK18"/>
            <w:r w:rsidRPr="00D34D5C">
              <w:rPr>
                <w:rStyle w:val="Emphasis"/>
              </w:rPr>
              <w:t>Instrument of Delegation dated 27 October 2014</w:t>
            </w:r>
            <w:bookmarkEnd w:id="44"/>
            <w:r w:rsidRPr="00D34D5C">
              <w:rPr>
                <w:rStyle w:val="Emphasis"/>
              </w:rPr>
              <w:t xml:space="preserve"> </w:t>
            </w:r>
            <w:r>
              <w:t>for Victorian Water Register related activities i</w:t>
            </w:r>
            <w:r w:rsidRPr="00C76146">
              <w:t>ncluding:</w:t>
            </w:r>
          </w:p>
          <w:p w:rsidR="00FC2DE4" w:rsidRPr="00C76146" w:rsidRDefault="00FC2DE4" w:rsidP="0038301A">
            <w:pPr>
              <w:pStyle w:val="Tablebullet"/>
            </w:pPr>
            <w:r w:rsidRPr="007264A8">
              <w:t>application fee for a water use licence</w:t>
            </w:r>
          </w:p>
          <w:p w:rsidR="00FC2DE4" w:rsidRPr="00C76146" w:rsidRDefault="00FC2DE4" w:rsidP="0038301A">
            <w:pPr>
              <w:pStyle w:val="Tablebullet"/>
            </w:pPr>
            <w:r w:rsidRPr="007264A8">
              <w:t>application fee for a water use registration</w:t>
            </w:r>
          </w:p>
          <w:p w:rsidR="00FC2DE4" w:rsidRPr="00C76146" w:rsidRDefault="00FC2DE4" w:rsidP="0038301A">
            <w:pPr>
              <w:pStyle w:val="Tablebullet"/>
            </w:pPr>
            <w:r w:rsidRPr="007264A8">
              <w:t>application fee for a works licence</w:t>
            </w:r>
          </w:p>
          <w:p w:rsidR="00FC2DE4" w:rsidRPr="00C76146" w:rsidRDefault="00FC2DE4" w:rsidP="0038301A">
            <w:pPr>
              <w:pStyle w:val="Tablebullet"/>
            </w:pPr>
            <w:r w:rsidRPr="007264A8">
              <w:t>application fee for a ground water licence</w:t>
            </w:r>
          </w:p>
          <w:p w:rsidR="00FC2DE4" w:rsidRPr="00F078EC" w:rsidRDefault="00FC2DE4" w:rsidP="0038301A">
            <w:pPr>
              <w:pStyle w:val="Tablebullet"/>
            </w:pPr>
            <w:r w:rsidRPr="007264A8">
              <w:t>application fee to establish a tagged interstate entitlement</w:t>
            </w:r>
          </w:p>
          <w:p w:rsidR="00FC2DE4" w:rsidRPr="006979EE" w:rsidRDefault="00FC2DE4" w:rsidP="0038301A">
            <w:pPr>
              <w:pStyle w:val="Tablebullet"/>
            </w:pPr>
            <w:r w:rsidRPr="007264A8">
              <w:t>application to place an order against a tagged interstate entitlement</w:t>
            </w:r>
          </w:p>
          <w:p w:rsidR="00FC2DE4" w:rsidRPr="005316D0" w:rsidRDefault="00FC2DE4" w:rsidP="0038301A">
            <w:pPr>
              <w:pStyle w:val="Tablebullet"/>
            </w:pPr>
            <w:r w:rsidRPr="007264A8">
              <w:t>application to issue, amend or transfer a bundled entitlement</w:t>
            </w:r>
          </w:p>
          <w:p w:rsidR="00FC2DE4" w:rsidRPr="00C76146" w:rsidRDefault="00FC2DE4" w:rsidP="0038301A">
            <w:pPr>
              <w:pStyle w:val="Tablebullet"/>
            </w:pPr>
            <w:r w:rsidRPr="007264A8">
              <w:t>application fee to issue a delivery share</w:t>
            </w:r>
          </w:p>
          <w:p w:rsidR="00FC2DE4" w:rsidRPr="00C76146" w:rsidRDefault="00FC2DE4" w:rsidP="0038301A">
            <w:pPr>
              <w:pStyle w:val="Tablebullet"/>
            </w:pPr>
            <w:r w:rsidRPr="007264A8">
              <w:t>application fee to vary a water use licence</w:t>
            </w:r>
          </w:p>
          <w:p w:rsidR="00FC2DE4" w:rsidRPr="00C23ACB" w:rsidRDefault="00FC2DE4" w:rsidP="0038301A">
            <w:pPr>
              <w:pStyle w:val="Tablebullet"/>
            </w:pPr>
            <w:r w:rsidRPr="007264A8">
              <w:t>application fee to vary a works licence</w:t>
            </w:r>
          </w:p>
          <w:p w:rsidR="00FC2DE4" w:rsidRPr="00C76146" w:rsidRDefault="00FC2DE4" w:rsidP="0038301A">
            <w:pPr>
              <w:pStyle w:val="Tablebullet"/>
            </w:pPr>
            <w:r w:rsidRPr="007264A8">
              <w:t>application fee to vary a ground water licence</w:t>
            </w:r>
          </w:p>
          <w:p w:rsidR="00FC2DE4" w:rsidRPr="007E3CF4" w:rsidRDefault="00FC2DE4" w:rsidP="0038301A">
            <w:pPr>
              <w:pStyle w:val="Tablebullet"/>
            </w:pPr>
            <w:r w:rsidRPr="007264A8">
              <w:t>application fee to transfer a works licence</w:t>
            </w:r>
          </w:p>
          <w:p w:rsidR="00FC2DE4" w:rsidRPr="0080127C" w:rsidRDefault="00FC2DE4" w:rsidP="0038301A">
            <w:pPr>
              <w:pStyle w:val="Tablebullet"/>
            </w:pPr>
            <w:r>
              <w:t>application fee to transfer or amend annual use limit</w:t>
            </w:r>
          </w:p>
          <w:p w:rsidR="00FC2DE4" w:rsidRPr="00C23ACB" w:rsidRDefault="00FC2DE4" w:rsidP="0038301A">
            <w:pPr>
              <w:pStyle w:val="Tablebullet"/>
            </w:pPr>
            <w:r w:rsidRPr="007264A8">
              <w:t>application fee to cancel a water use licence</w:t>
            </w:r>
          </w:p>
          <w:p w:rsidR="00FC2DE4" w:rsidRPr="00C23ACB" w:rsidRDefault="00FC2DE4" w:rsidP="0038301A">
            <w:pPr>
              <w:pStyle w:val="Tablebullet"/>
            </w:pPr>
            <w:r w:rsidRPr="007264A8">
              <w:t>application fee to cancel a water use registration</w:t>
            </w:r>
          </w:p>
          <w:p w:rsidR="00FC2DE4" w:rsidRPr="00C23ACB" w:rsidRDefault="00FC2DE4" w:rsidP="0038301A">
            <w:pPr>
              <w:pStyle w:val="Tablebullet"/>
            </w:pPr>
            <w:r w:rsidRPr="007264A8">
              <w:t>application fee to cancel a works licence</w:t>
            </w:r>
          </w:p>
          <w:p w:rsidR="00FC2DE4" w:rsidRPr="00C23ACB" w:rsidRDefault="00FC2DE4" w:rsidP="0038301A">
            <w:pPr>
              <w:pStyle w:val="Tablebullet"/>
            </w:pPr>
            <w:r w:rsidRPr="007264A8">
              <w:t>application fee to cancel a ground water licence</w:t>
            </w:r>
          </w:p>
          <w:p w:rsidR="00FC2DE4" w:rsidRDefault="00FC2DE4" w:rsidP="0038301A">
            <w:pPr>
              <w:pStyle w:val="Tablebullet"/>
            </w:pPr>
            <w:r w:rsidRPr="007264A8">
              <w:t>application to vary</w:t>
            </w:r>
            <w:r>
              <w:t xml:space="preserve"> or cancel</w:t>
            </w:r>
            <w:r w:rsidRPr="007264A8">
              <w:t xml:space="preserve"> a delivery share</w:t>
            </w:r>
          </w:p>
          <w:p w:rsidR="00FC2DE4" w:rsidRDefault="00FC2DE4" w:rsidP="0038301A">
            <w:pPr>
              <w:pStyle w:val="Tablebullet"/>
            </w:pPr>
            <w:r>
              <w:t>water register administration fee (100 pt check, ABA creation, ASIC extract)</w:t>
            </w:r>
          </w:p>
          <w:p w:rsidR="00FC2DE4" w:rsidRPr="00C76146" w:rsidRDefault="00FC2DE4" w:rsidP="0038301A">
            <w:pPr>
              <w:pStyle w:val="Tablebullet"/>
            </w:pPr>
            <w:r>
              <w:t>Subdivision of Water Entitlements (associated with a subdivision of land)</w:t>
            </w:r>
          </w:p>
        </w:tc>
      </w:tr>
      <w:tr w:rsidR="00FC2DE4" w:rsidRPr="007264A8" w:rsidTr="00B33E47">
        <w:trPr>
          <w:trHeight w:val="1691"/>
        </w:trPr>
        <w:tc>
          <w:tcPr>
            <w:tcW w:w="3517" w:type="dxa"/>
            <w:vMerge/>
            <w:tcBorders>
              <w:bottom w:val="single" w:sz="4" w:space="0" w:color="auto"/>
            </w:tcBorders>
            <w:shd w:val="clear" w:color="auto" w:fill="auto"/>
          </w:tcPr>
          <w:p w:rsidR="00FC2DE4" w:rsidRPr="00C76146" w:rsidRDefault="00FC2DE4" w:rsidP="00B33E47"/>
        </w:tc>
        <w:tc>
          <w:tcPr>
            <w:tcW w:w="6341" w:type="dxa"/>
            <w:tcBorders>
              <w:bottom w:val="single" w:sz="4" w:space="0" w:color="auto"/>
            </w:tcBorders>
            <w:shd w:val="clear" w:color="auto" w:fill="auto"/>
          </w:tcPr>
          <w:p w:rsidR="00FC2DE4" w:rsidRPr="00C76146" w:rsidRDefault="00FC2DE4" w:rsidP="00B33E47">
            <w:r w:rsidRPr="00C76146">
              <w:t xml:space="preserve">Transaction fees for applications to </w:t>
            </w:r>
            <w:r>
              <w:t>Lower Murray Water</w:t>
            </w:r>
            <w:r w:rsidRPr="00C76146">
              <w:t xml:space="preserve"> made</w:t>
            </w:r>
            <w:r>
              <w:t xml:space="preserve"> by way of </w:t>
            </w:r>
            <w:r w:rsidRPr="00C76146">
              <w:t xml:space="preserve"> under the </w:t>
            </w:r>
            <w:bookmarkStart w:id="45" w:name="OLE_LINK1"/>
            <w:r w:rsidRPr="00D34D5C">
              <w:rPr>
                <w:rStyle w:val="Emphasis"/>
              </w:rPr>
              <w:t>Instrument of Delegation dated 27 October 2014</w:t>
            </w:r>
            <w:bookmarkEnd w:id="45"/>
            <w:r w:rsidRPr="00D34D5C">
              <w:rPr>
                <w:rStyle w:val="Emphasis"/>
              </w:rPr>
              <w:t xml:space="preserve"> </w:t>
            </w:r>
            <w:r>
              <w:t>under section 264 of the Water Act 1989 (Victoria)  for management of licencing conditions i</w:t>
            </w:r>
            <w:r w:rsidRPr="00C76146">
              <w:t>ncluding:</w:t>
            </w:r>
          </w:p>
          <w:p w:rsidR="00FC2DE4" w:rsidRPr="00771FC9" w:rsidRDefault="00FC2DE4" w:rsidP="00081B94">
            <w:r w:rsidRPr="007264A8">
              <w:t>fee for special meter reading</w:t>
            </w:r>
          </w:p>
          <w:p w:rsidR="00FC2DE4" w:rsidRPr="00C76146" w:rsidRDefault="00FC2DE4" w:rsidP="00081B94">
            <w:r w:rsidRPr="007264A8">
              <w:t>fee for meter investigation</w:t>
            </w:r>
          </w:p>
        </w:tc>
      </w:tr>
      <w:tr w:rsidR="00FC2DE4" w:rsidRPr="007264A8" w:rsidTr="00B33E47">
        <w:tc>
          <w:tcPr>
            <w:tcW w:w="3517" w:type="dxa"/>
            <w:tcBorders>
              <w:top w:val="single" w:sz="12" w:space="0" w:color="auto"/>
              <w:bottom w:val="single" w:sz="12" w:space="0" w:color="auto"/>
            </w:tcBorders>
            <w:shd w:val="clear" w:color="auto" w:fill="F3F3F3"/>
          </w:tcPr>
          <w:p w:rsidR="00FC2DE4" w:rsidRPr="00891FF3" w:rsidRDefault="00FC2DE4" w:rsidP="00B33E47">
            <w:pPr>
              <w:rPr>
                <w:rStyle w:val="Strong"/>
              </w:rPr>
            </w:pPr>
            <w:r w:rsidRPr="00891FF3">
              <w:rPr>
                <w:rStyle w:val="Strong"/>
              </w:rPr>
              <w:t>Information requirement</w:t>
            </w:r>
          </w:p>
        </w:tc>
        <w:tc>
          <w:tcPr>
            <w:tcW w:w="6341" w:type="dxa"/>
            <w:tcBorders>
              <w:top w:val="single" w:sz="12" w:space="0" w:color="auto"/>
              <w:bottom w:val="single" w:sz="12" w:space="0" w:color="auto"/>
            </w:tcBorders>
            <w:shd w:val="clear" w:color="auto" w:fill="F3F3F3"/>
          </w:tcPr>
          <w:p w:rsidR="00FC2DE4" w:rsidRPr="00891FF3" w:rsidRDefault="00FC2DE4" w:rsidP="00B33E47">
            <w:pPr>
              <w:rPr>
                <w:rStyle w:val="Strong"/>
              </w:rPr>
            </w:pPr>
            <w:r w:rsidRPr="00891FF3">
              <w:rPr>
                <w:rStyle w:val="Strong"/>
              </w:rPr>
              <w:t>Relevant information</w:t>
            </w:r>
          </w:p>
        </w:tc>
      </w:tr>
      <w:tr w:rsidR="00FC2DE4" w:rsidRPr="007264A8" w:rsidTr="00B33E47">
        <w:trPr>
          <w:trHeight w:val="1506"/>
        </w:trPr>
        <w:tc>
          <w:tcPr>
            <w:tcW w:w="3517" w:type="dxa"/>
            <w:tcBorders>
              <w:bottom w:val="single" w:sz="12" w:space="0" w:color="auto"/>
            </w:tcBorders>
            <w:shd w:val="clear" w:color="auto" w:fill="auto"/>
          </w:tcPr>
          <w:p w:rsidR="00FC2DE4" w:rsidRPr="00C76146" w:rsidRDefault="00FC2DE4" w:rsidP="00B33E47"/>
        </w:tc>
        <w:tc>
          <w:tcPr>
            <w:tcW w:w="6341" w:type="dxa"/>
            <w:tcBorders>
              <w:bottom w:val="single" w:sz="12" w:space="0" w:color="auto"/>
            </w:tcBorders>
            <w:shd w:val="clear" w:color="auto" w:fill="auto"/>
          </w:tcPr>
          <w:p w:rsidR="00FC2DE4" w:rsidRPr="00C76146" w:rsidRDefault="00FC2DE4" w:rsidP="00B33E47">
            <w:r>
              <w:t xml:space="preserve">Regulated tariffs payable to Lower Murray Water made by way of the </w:t>
            </w:r>
            <w:r w:rsidRPr="00D34D5C">
              <w:rPr>
                <w:rStyle w:val="Emphasis"/>
              </w:rPr>
              <w:t xml:space="preserve">Instrument of Delegation dated 27 October 2014 </w:t>
            </w:r>
            <w:r>
              <w:t>under section 264 of the Water Act 1989 (Victoria) for administration and management of licencing conditions i</w:t>
            </w:r>
            <w:r w:rsidRPr="00C76146">
              <w:t>ncluding:</w:t>
            </w:r>
          </w:p>
          <w:p w:rsidR="00FC2DE4" w:rsidRPr="00A116D0" w:rsidRDefault="00FC2DE4" w:rsidP="00081B94">
            <w:r w:rsidRPr="007264A8">
              <w:t>service charge</w:t>
            </w:r>
          </w:p>
          <w:p w:rsidR="00FC2DE4" w:rsidRPr="00626446" w:rsidRDefault="00FC2DE4" w:rsidP="00081B94">
            <w:r w:rsidRPr="007264A8">
              <w:t>operational fee</w:t>
            </w:r>
          </w:p>
        </w:tc>
      </w:tr>
      <w:tr w:rsidR="00FC2DE4" w:rsidRPr="007264A8" w:rsidTr="00B33E47">
        <w:trPr>
          <w:trHeight w:val="7198"/>
        </w:trPr>
        <w:tc>
          <w:tcPr>
            <w:tcW w:w="3517" w:type="dxa"/>
            <w:tcBorders>
              <w:top w:val="single" w:sz="12" w:space="0" w:color="auto"/>
            </w:tcBorders>
            <w:shd w:val="clear" w:color="auto" w:fill="auto"/>
          </w:tcPr>
          <w:p w:rsidR="00FC2DE4" w:rsidRPr="00C76146" w:rsidRDefault="00FC2DE4" w:rsidP="00B33E47">
            <w:r w:rsidRPr="00C76146">
              <w:t>The amount of the regulated charge (whether expressed as a dollar amount or as fee units) or details of rates, fixed and variable components and all other details necessary</w:t>
            </w:r>
            <w:r>
              <w:t xml:space="preserve"> to determine the amount</w:t>
            </w:r>
          </w:p>
        </w:tc>
        <w:tc>
          <w:tcPr>
            <w:tcW w:w="6341" w:type="dxa"/>
            <w:tcBorders>
              <w:top w:val="single" w:sz="12" w:space="0" w:color="auto"/>
              <w:bottom w:val="single" w:sz="4" w:space="0" w:color="auto"/>
            </w:tcBorders>
            <w:shd w:val="clear" w:color="auto" w:fill="auto"/>
          </w:tcPr>
          <w:p w:rsidR="00FC2DE4" w:rsidRPr="00C76146" w:rsidRDefault="00FC2DE4" w:rsidP="00B33E47">
            <w:r w:rsidRPr="00C76146">
              <w:t>From 1 July 201</w:t>
            </w:r>
            <w:r>
              <w:t>5</w:t>
            </w:r>
            <w:r w:rsidRPr="00C76146">
              <w:t>:</w:t>
            </w:r>
          </w:p>
          <w:p w:rsidR="00FC2DE4" w:rsidRPr="00E4502A" w:rsidRDefault="00FC2DE4" w:rsidP="00081B94">
            <w:r>
              <w:t>the a</w:t>
            </w:r>
            <w:r w:rsidRPr="00E4502A">
              <w:t>pplication fee for a water use licence</w:t>
            </w:r>
            <w:r>
              <w:t xml:space="preserve"> is </w:t>
            </w:r>
            <w:r w:rsidRPr="00891FF3">
              <w:rPr>
                <w:rStyle w:val="Strong"/>
              </w:rPr>
              <w:t>$184.60</w:t>
            </w:r>
          </w:p>
          <w:p w:rsidR="00FC2DE4" w:rsidRPr="00E4502A" w:rsidRDefault="00FC2DE4" w:rsidP="00081B94">
            <w:r>
              <w:t>the a</w:t>
            </w:r>
            <w:r w:rsidRPr="00E4502A">
              <w:t>pplication fee for a water use registration</w:t>
            </w:r>
            <w:r>
              <w:t xml:space="preserve"> is </w:t>
            </w:r>
            <w:r w:rsidRPr="00891FF3">
              <w:rPr>
                <w:rStyle w:val="Strong"/>
              </w:rPr>
              <w:t>$184.60</w:t>
            </w:r>
          </w:p>
          <w:p w:rsidR="00FC2DE4" w:rsidRPr="00E4502A" w:rsidRDefault="00FC2DE4" w:rsidP="00081B94">
            <w:r>
              <w:t>the a</w:t>
            </w:r>
            <w:r w:rsidRPr="00E4502A">
              <w:t>pplication fee for a works licence</w:t>
            </w:r>
            <w:r>
              <w:t xml:space="preserve"> is </w:t>
            </w:r>
            <w:r w:rsidRPr="00891FF3">
              <w:rPr>
                <w:rStyle w:val="Strong"/>
              </w:rPr>
              <w:t>$184.60</w:t>
            </w:r>
          </w:p>
          <w:p w:rsidR="00FC2DE4" w:rsidRPr="00E4502A" w:rsidRDefault="00FC2DE4" w:rsidP="00081B94">
            <w:r>
              <w:t>the a</w:t>
            </w:r>
            <w:r w:rsidRPr="00E4502A">
              <w:t>pplication fee for a ground water licence</w:t>
            </w:r>
            <w:r>
              <w:t xml:space="preserve"> is </w:t>
            </w:r>
            <w:r w:rsidRPr="00891FF3">
              <w:rPr>
                <w:rStyle w:val="Strong"/>
              </w:rPr>
              <w:t>$353.20</w:t>
            </w:r>
          </w:p>
          <w:p w:rsidR="00FC2DE4" w:rsidRPr="00F078EC" w:rsidRDefault="00FC2DE4" w:rsidP="00081B94">
            <w:r>
              <w:t>the a</w:t>
            </w:r>
            <w:r w:rsidRPr="00E4502A">
              <w:t>pplication fee to establish a tagged interstate entitlement</w:t>
            </w:r>
            <w:r>
              <w:t xml:space="preserve"> is </w:t>
            </w:r>
            <w:r w:rsidRPr="00891FF3">
              <w:rPr>
                <w:rStyle w:val="Strong"/>
              </w:rPr>
              <w:t>$155.40</w:t>
            </w:r>
          </w:p>
          <w:p w:rsidR="00FC2DE4" w:rsidRPr="006979EE" w:rsidRDefault="00FC2DE4" w:rsidP="00081B94">
            <w:r>
              <w:t xml:space="preserve">the </w:t>
            </w:r>
            <w:r w:rsidRPr="00F078EC">
              <w:t xml:space="preserve">application </w:t>
            </w:r>
            <w:r>
              <w:t xml:space="preserve">fee </w:t>
            </w:r>
            <w:r w:rsidRPr="00F078EC">
              <w:t>to place an order against a tagged interstate entitlement</w:t>
            </w:r>
            <w:r>
              <w:t xml:space="preserve"> is </w:t>
            </w:r>
            <w:r w:rsidRPr="00891FF3">
              <w:rPr>
                <w:rStyle w:val="Strong"/>
              </w:rPr>
              <w:t>$82.10</w:t>
            </w:r>
          </w:p>
          <w:p w:rsidR="00FC2DE4" w:rsidRPr="00F078EC" w:rsidRDefault="00FC2DE4" w:rsidP="00081B94">
            <w:r>
              <w:t xml:space="preserve">the application fee to issue, amend or transfer a bundled entitlement is </w:t>
            </w:r>
            <w:r w:rsidRPr="00891FF3">
              <w:rPr>
                <w:rStyle w:val="Strong"/>
              </w:rPr>
              <w:t>$184.60</w:t>
            </w:r>
          </w:p>
          <w:p w:rsidR="00FC2DE4" w:rsidRDefault="00FC2DE4" w:rsidP="00081B94">
            <w:r>
              <w:t>the a</w:t>
            </w:r>
            <w:r w:rsidRPr="00E4502A">
              <w:t>pplication fee to issue a delivery share</w:t>
            </w:r>
            <w:r>
              <w:t xml:space="preserve"> is </w:t>
            </w:r>
            <w:r w:rsidRPr="00891FF3">
              <w:rPr>
                <w:rStyle w:val="Strong"/>
              </w:rPr>
              <w:t>$82.10</w:t>
            </w:r>
          </w:p>
          <w:p w:rsidR="00FC2DE4" w:rsidRPr="00E4502A" w:rsidRDefault="00FC2DE4" w:rsidP="00081B94">
            <w:r>
              <w:t>the a</w:t>
            </w:r>
            <w:r w:rsidRPr="00E4502A">
              <w:t>pplication fee to vary a water use licence</w:t>
            </w:r>
            <w:r>
              <w:t xml:space="preserve"> is </w:t>
            </w:r>
            <w:r w:rsidRPr="00891FF3">
              <w:rPr>
                <w:rStyle w:val="Strong"/>
              </w:rPr>
              <w:t>$184.60</w:t>
            </w:r>
          </w:p>
          <w:p w:rsidR="00FC2DE4" w:rsidRPr="00E4502A" w:rsidRDefault="00FC2DE4" w:rsidP="00081B94">
            <w:r>
              <w:t>the a</w:t>
            </w:r>
            <w:r w:rsidRPr="00E4502A">
              <w:t>pplication fee to vary a works licence</w:t>
            </w:r>
            <w:r>
              <w:t xml:space="preserve"> is </w:t>
            </w:r>
            <w:r w:rsidRPr="00891FF3">
              <w:rPr>
                <w:rStyle w:val="Strong"/>
              </w:rPr>
              <w:t>$184.60</w:t>
            </w:r>
          </w:p>
          <w:p w:rsidR="00FC2DE4" w:rsidRPr="00046CEE" w:rsidRDefault="00FC2DE4" w:rsidP="00081B94">
            <w:r>
              <w:t>the a</w:t>
            </w:r>
            <w:r w:rsidRPr="00E4502A">
              <w:t>pplication fee to vary a ground water licence</w:t>
            </w:r>
            <w:r>
              <w:t xml:space="preserve"> is </w:t>
            </w:r>
            <w:r w:rsidRPr="00891FF3">
              <w:rPr>
                <w:rStyle w:val="Strong"/>
              </w:rPr>
              <w:t>$184.60</w:t>
            </w:r>
          </w:p>
          <w:p w:rsidR="00FC2DE4" w:rsidRPr="00AC4B1E" w:rsidRDefault="00FC2DE4" w:rsidP="00081B94">
            <w:r>
              <w:t>the a</w:t>
            </w:r>
            <w:r w:rsidRPr="00E4502A">
              <w:t>pplication fee to transfer a works licence</w:t>
            </w:r>
            <w:r>
              <w:t xml:space="preserve"> is </w:t>
            </w:r>
            <w:r w:rsidRPr="00891FF3">
              <w:rPr>
                <w:rStyle w:val="Strong"/>
              </w:rPr>
              <w:t>$184.60</w:t>
            </w:r>
          </w:p>
          <w:p w:rsidR="00FC2DE4" w:rsidRPr="00E4502A" w:rsidRDefault="00FC2DE4" w:rsidP="00081B94">
            <w:r>
              <w:t xml:space="preserve">the application fee to transfer or amend annual use limit </w:t>
            </w:r>
            <w:r w:rsidRPr="00891FF3">
              <w:rPr>
                <w:rStyle w:val="Strong"/>
              </w:rPr>
              <w:t>$184.60</w:t>
            </w:r>
          </w:p>
          <w:p w:rsidR="00FC2DE4" w:rsidRPr="00E4502A" w:rsidRDefault="00FC2DE4" w:rsidP="00081B94">
            <w:r>
              <w:t>the a</w:t>
            </w:r>
            <w:r w:rsidRPr="00E4502A">
              <w:t>pplication fee to cancel a water use licence</w:t>
            </w:r>
            <w:r>
              <w:t xml:space="preserve"> is </w:t>
            </w:r>
            <w:r w:rsidRPr="00891FF3">
              <w:rPr>
                <w:rStyle w:val="Strong"/>
              </w:rPr>
              <w:t>$184.60</w:t>
            </w:r>
          </w:p>
          <w:p w:rsidR="00FC2DE4" w:rsidRPr="00E4502A" w:rsidRDefault="00FC2DE4" w:rsidP="00081B94">
            <w:r>
              <w:t>the a</w:t>
            </w:r>
            <w:r w:rsidRPr="00E4502A">
              <w:t>pplication fee to cancel a water use registration</w:t>
            </w:r>
            <w:r>
              <w:t xml:space="preserve"> is </w:t>
            </w:r>
            <w:r w:rsidRPr="00891FF3">
              <w:rPr>
                <w:rStyle w:val="Strong"/>
              </w:rPr>
              <w:t>$184.60</w:t>
            </w:r>
          </w:p>
          <w:p w:rsidR="00FC2DE4" w:rsidRDefault="00FC2DE4" w:rsidP="00081B94">
            <w:r>
              <w:t>the a</w:t>
            </w:r>
            <w:r w:rsidRPr="00E4502A">
              <w:t>pplication fee to cancel a works licence</w:t>
            </w:r>
            <w:r>
              <w:t xml:space="preserve"> is </w:t>
            </w:r>
            <w:r w:rsidRPr="00891FF3">
              <w:rPr>
                <w:rStyle w:val="Strong"/>
              </w:rPr>
              <w:t>$184.60</w:t>
            </w:r>
          </w:p>
          <w:p w:rsidR="00FC2DE4" w:rsidRPr="00E4502A" w:rsidRDefault="00FC2DE4" w:rsidP="00081B94">
            <w:r>
              <w:t>the a</w:t>
            </w:r>
            <w:r w:rsidRPr="00E4502A">
              <w:t>pplication fee to cancel a ground water licence</w:t>
            </w:r>
            <w:r>
              <w:t xml:space="preserve"> is </w:t>
            </w:r>
            <w:r w:rsidRPr="00891FF3">
              <w:rPr>
                <w:rStyle w:val="Strong"/>
              </w:rPr>
              <w:t>$184.60</w:t>
            </w:r>
          </w:p>
          <w:p w:rsidR="00FC2DE4" w:rsidRPr="00AC4B1E" w:rsidRDefault="00FC2DE4" w:rsidP="00081B94">
            <w:r>
              <w:t>the a</w:t>
            </w:r>
            <w:r w:rsidRPr="00E4502A">
              <w:t xml:space="preserve">pplication to vary </w:t>
            </w:r>
            <w:r>
              <w:t xml:space="preserve">or cancel </w:t>
            </w:r>
            <w:r w:rsidRPr="00E4502A">
              <w:t>a delivery</w:t>
            </w:r>
            <w:r>
              <w:t xml:space="preserve"> share is </w:t>
            </w:r>
            <w:r w:rsidRPr="00891FF3">
              <w:rPr>
                <w:rStyle w:val="Strong"/>
              </w:rPr>
              <w:t>$82.10</w:t>
            </w:r>
          </w:p>
          <w:p w:rsidR="00FC2DE4" w:rsidRPr="00894B2E" w:rsidRDefault="00FC2DE4" w:rsidP="00081B94">
            <w:r>
              <w:t xml:space="preserve">the water register administration fee (100 point check, ABA creation or ASIC extract) is </w:t>
            </w:r>
            <w:r w:rsidRPr="00891FF3">
              <w:rPr>
                <w:rStyle w:val="Strong"/>
              </w:rPr>
              <w:t>$26.00</w:t>
            </w:r>
          </w:p>
          <w:p w:rsidR="00FC2DE4" w:rsidRPr="00894B2E" w:rsidRDefault="00FC2DE4" w:rsidP="00081B94">
            <w:r>
              <w:t xml:space="preserve">the </w:t>
            </w:r>
            <w:r w:rsidRPr="00894B2E">
              <w:t>fee for special meter reading</w:t>
            </w:r>
            <w:r>
              <w:t xml:space="preserve"> is </w:t>
            </w:r>
            <w:r w:rsidRPr="00891FF3">
              <w:rPr>
                <w:rStyle w:val="Strong"/>
              </w:rPr>
              <w:t>$43.30</w:t>
            </w:r>
          </w:p>
          <w:p w:rsidR="00FC2DE4" w:rsidRPr="00894B2E" w:rsidRDefault="00FC2DE4" w:rsidP="00081B94">
            <w:r w:rsidRPr="00894B2E">
              <w:lastRenderedPageBreak/>
              <w:t>the fee for meter investigation</w:t>
            </w:r>
            <w:r>
              <w:t xml:space="preserve"> is </w:t>
            </w:r>
            <w:r w:rsidRPr="00891FF3">
              <w:rPr>
                <w:rStyle w:val="Strong"/>
              </w:rPr>
              <w:t>$343.00</w:t>
            </w:r>
            <w:r w:rsidRPr="00891FF3">
              <w:t xml:space="preserve"> (refundable</w:t>
            </w:r>
            <w:r>
              <w:t xml:space="preserve"> on the outcome of the investigation)</w:t>
            </w:r>
          </w:p>
          <w:p w:rsidR="00FC2DE4" w:rsidRPr="00894B2E" w:rsidRDefault="00FC2DE4" w:rsidP="00081B94">
            <w:r w:rsidRPr="00894B2E">
              <w:t xml:space="preserve">the service charge </w:t>
            </w:r>
            <w:r>
              <w:t xml:space="preserve">is </w:t>
            </w:r>
            <w:r w:rsidRPr="00891FF3">
              <w:rPr>
                <w:rStyle w:val="Strong"/>
              </w:rPr>
              <w:t>$100.00</w:t>
            </w:r>
            <w:r>
              <w:t xml:space="preserve"> per assessment being a fixed charge</w:t>
            </w:r>
          </w:p>
          <w:p w:rsidR="00FC2DE4" w:rsidRDefault="00FC2DE4" w:rsidP="00081B94">
            <w:r w:rsidRPr="00894B2E">
              <w:t>the operational fee</w:t>
            </w:r>
            <w:r>
              <w:t xml:space="preserve"> is </w:t>
            </w:r>
            <w:r w:rsidRPr="00891FF3">
              <w:rPr>
                <w:rStyle w:val="Strong"/>
              </w:rPr>
              <w:t>$2.15</w:t>
            </w:r>
            <w:r>
              <w:t xml:space="preserve"> per ML of annual use limit stipulated on the water use licence</w:t>
            </w:r>
          </w:p>
          <w:p w:rsidR="00FC2DE4" w:rsidRPr="00C76146" w:rsidRDefault="00FC2DE4" w:rsidP="00081B94">
            <w:r>
              <w:t xml:space="preserve">the subdivision of water entitlements (associated with a subdivision of land) is </w:t>
            </w:r>
            <w:r w:rsidRPr="00891FF3">
              <w:rPr>
                <w:rStyle w:val="Strong"/>
              </w:rPr>
              <w:t>$100.00</w:t>
            </w:r>
          </w:p>
        </w:tc>
      </w:tr>
    </w:tbl>
    <w:p w:rsidR="00BC5C37" w:rsidRPr="00420B9B" w:rsidRDefault="00BC5C37" w:rsidP="005E23FC">
      <w:pPr>
        <w:pStyle w:val="Tabletitle"/>
        <w:keepNext/>
        <w:keepLines/>
      </w:pPr>
      <w:r w:rsidRPr="00420B9B">
        <w:lastRenderedPageBreak/>
        <w:t>Information on water planning and manage</w:t>
      </w:r>
      <w:r>
        <w:t xml:space="preserve">ment charges levied by GWMWater </w:t>
      </w:r>
      <w:r w:rsidR="001C3657">
        <w:t>2015−16</w:t>
      </w:r>
    </w:p>
    <w:p w:rsidR="00B61F9B" w:rsidRPr="00B61F9B" w:rsidRDefault="00BC5C37" w:rsidP="005E23FC">
      <w:pPr>
        <w:keepNext/>
        <w:keepLines/>
      </w:pPr>
      <w:r>
        <w:rPr>
          <w:noProof/>
          <w:lang w:eastAsia="en-AU"/>
        </w:rPr>
        <w:drawing>
          <wp:inline distT="0" distB="0" distL="0" distR="0" wp14:anchorId="663D4576" wp14:editId="579EA4DF">
            <wp:extent cx="5731510" cy="2774950"/>
            <wp:effectExtent l="0" t="0" r="2540" b="6350"/>
            <wp:docPr id="97" name="Picture 97" descr="The following schedule lists the water planning and management charges levied by Grampians Wimmera Mallee Water for 2015/16 on their non-urban customers." title="Information on water planning and management charges levied by GWMWater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2774950"/>
                    </a:xfrm>
                    <a:prstGeom prst="rect">
                      <a:avLst/>
                    </a:prstGeom>
                  </pic:spPr>
                </pic:pic>
              </a:graphicData>
            </a:graphic>
          </wp:inline>
        </w:drawing>
      </w:r>
    </w:p>
    <w:p w:rsidR="00BC5C37" w:rsidRDefault="00BC5C37" w:rsidP="005E23FC">
      <w:pPr>
        <w:keepNext/>
        <w:keepLines/>
      </w:pPr>
      <w:r>
        <w:rPr>
          <w:noProof/>
          <w:lang w:eastAsia="en-AU"/>
        </w:rPr>
        <w:drawing>
          <wp:inline distT="0" distB="0" distL="0" distR="0" wp14:anchorId="7C27D327" wp14:editId="1EDC7EB3">
            <wp:extent cx="5723644" cy="4785756"/>
            <wp:effectExtent l="0" t="0" r="0" b="0"/>
            <wp:docPr id="98" name="Picture 98" descr="The following schedule lists the water planning and management charges levied by Grampians Wimmera Mallee Water for 2015/16 on their non-urban customers." title="Information on water planning and management charges levied by GWMWater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4792333"/>
                    </a:xfrm>
                    <a:prstGeom prst="rect">
                      <a:avLst/>
                    </a:prstGeom>
                  </pic:spPr>
                </pic:pic>
              </a:graphicData>
            </a:graphic>
          </wp:inline>
        </w:drawing>
      </w:r>
    </w:p>
    <w:p w:rsidR="00BC5C37" w:rsidRDefault="00BC5C37" w:rsidP="005E23FC">
      <w:pPr>
        <w:keepNext/>
        <w:keepLines/>
      </w:pPr>
    </w:p>
    <w:p w:rsidR="00BC5C37" w:rsidRDefault="00BC5C37" w:rsidP="005E23FC">
      <w:pPr>
        <w:keepNext/>
        <w:keepLines/>
      </w:pPr>
      <w:r>
        <w:rPr>
          <w:noProof/>
          <w:lang w:eastAsia="en-AU"/>
        </w:rPr>
        <w:lastRenderedPageBreak/>
        <w:drawing>
          <wp:inline distT="0" distB="0" distL="0" distR="0" wp14:anchorId="0BF5525A" wp14:editId="5D64F872">
            <wp:extent cx="5731510" cy="2558415"/>
            <wp:effectExtent l="0" t="0" r="2540" b="0"/>
            <wp:docPr id="99" name="Picture 99" descr="The following schedule lists the water planning and management charges levied by Grampians Wimmera Mallee Water for 2015/16 on their non-urban customers." title="Information on water planning and management charges levied by GWMWater 2015/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558415"/>
                    </a:xfrm>
                    <a:prstGeom prst="rect">
                      <a:avLst/>
                    </a:prstGeom>
                  </pic:spPr>
                </pic:pic>
              </a:graphicData>
            </a:graphic>
          </wp:inline>
        </w:drawing>
      </w:r>
    </w:p>
    <w:p w:rsidR="00EB3684" w:rsidRDefault="00EB3684" w:rsidP="00EB3684">
      <w:pPr>
        <w:pStyle w:val="Tabletitle"/>
      </w:pPr>
      <w:r w:rsidRPr="00420B9B">
        <w:t>Information on water planning and manage</w:t>
      </w:r>
      <w:r>
        <w:t xml:space="preserve">ment charges levied by </w:t>
      </w:r>
      <w:r w:rsidR="00714811">
        <w:t xml:space="preserve">Coliban </w:t>
      </w:r>
      <w:r>
        <w:t xml:space="preserve">Water </w:t>
      </w:r>
      <w:r w:rsidR="001C3657">
        <w:t>2015−16</w:t>
      </w:r>
    </w:p>
    <w:tbl>
      <w:tblPr>
        <w:tblStyle w:val="MediumGrid3"/>
        <w:tblW w:w="0" w:type="auto"/>
        <w:tblLook w:val="04A0" w:firstRow="1" w:lastRow="0" w:firstColumn="1" w:lastColumn="0" w:noHBand="0" w:noVBand="1"/>
      </w:tblPr>
      <w:tblGrid>
        <w:gridCol w:w="4621"/>
        <w:gridCol w:w="4621"/>
      </w:tblGrid>
      <w:tr w:rsidR="00714811" w:rsidRPr="00863195" w:rsidTr="00863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14811" w:rsidRPr="00863195" w:rsidRDefault="00714811" w:rsidP="00863195">
            <w:r w:rsidRPr="00863195">
              <w:t>Name of Charge</w:t>
            </w:r>
          </w:p>
        </w:tc>
        <w:tc>
          <w:tcPr>
            <w:tcW w:w="4621" w:type="dxa"/>
          </w:tcPr>
          <w:p w:rsidR="00714811" w:rsidRPr="00863195" w:rsidRDefault="00714811" w:rsidP="00863195">
            <w:pPr>
              <w:cnfStyle w:val="100000000000" w:firstRow="1" w:lastRow="0" w:firstColumn="0" w:lastColumn="0" w:oddVBand="0" w:evenVBand="0" w:oddHBand="0" w:evenHBand="0" w:firstRowFirstColumn="0" w:firstRowLastColumn="0" w:lastRowFirstColumn="0" w:lastRowLastColumn="0"/>
            </w:pPr>
            <w:r w:rsidRPr="00863195">
              <w:t>Amount of Charge</w:t>
            </w:r>
          </w:p>
        </w:tc>
      </w:tr>
      <w:tr w:rsidR="00714811" w:rsidRPr="00863195" w:rsidTr="00863195">
        <w:tc>
          <w:tcPr>
            <w:cnfStyle w:val="001000000000" w:firstRow="0" w:lastRow="0" w:firstColumn="1" w:lastColumn="0" w:oddVBand="0" w:evenVBand="0" w:oddHBand="0" w:evenHBand="0" w:firstRowFirstColumn="0" w:firstRowLastColumn="0" w:lastRowFirstColumn="0" w:lastRowLastColumn="0"/>
            <w:tcW w:w="4621" w:type="dxa"/>
          </w:tcPr>
          <w:p w:rsidR="00714811" w:rsidRPr="00863195" w:rsidRDefault="00714811" w:rsidP="00863195">
            <w:pPr>
              <w:pStyle w:val="Tabletext"/>
              <w:rPr>
                <w:rStyle w:val="Strong"/>
              </w:rPr>
            </w:pPr>
            <w:r w:rsidRPr="00863195">
              <w:rPr>
                <w:rStyle w:val="Strong"/>
              </w:rPr>
              <w:t>Rural Transfer Administration Fee</w:t>
            </w:r>
            <w:r w:rsidRPr="00863195">
              <w:rPr>
                <w:rStyle w:val="FootnoteReference"/>
              </w:rPr>
              <w:footnoteReference w:id="27"/>
            </w:r>
          </w:p>
        </w:tc>
        <w:tc>
          <w:tcPr>
            <w:tcW w:w="4621" w:type="dxa"/>
          </w:tcPr>
          <w:p w:rsidR="00714811" w:rsidRPr="00863195" w:rsidRDefault="00714811" w:rsidP="00863195">
            <w:pPr>
              <w:pStyle w:val="Tabletext"/>
              <w:cnfStyle w:val="000000000000" w:firstRow="0" w:lastRow="0" w:firstColumn="0" w:lastColumn="0" w:oddVBand="0" w:evenVBand="0" w:oddHBand="0" w:evenHBand="0" w:firstRowFirstColumn="0" w:firstRowLastColumn="0" w:lastRowFirstColumn="0" w:lastRowLastColumn="0"/>
            </w:pPr>
            <w:r w:rsidRPr="00863195">
              <w:t>$65.00 per transfer application</w:t>
            </w:r>
          </w:p>
        </w:tc>
      </w:tr>
    </w:tbl>
    <w:p w:rsidR="00897AA5" w:rsidRDefault="00897AA5" w:rsidP="00736EBA">
      <w:pPr>
        <w:pStyle w:val="Numbered111"/>
      </w:pPr>
      <w:bookmarkStart w:id="46" w:name="_Ref484182183"/>
      <w:bookmarkStart w:id="47" w:name="_Toc485303332"/>
      <w:r>
        <w:t>S</w:t>
      </w:r>
      <w:r w:rsidR="006C45A3">
        <w:t>outh Australia</w:t>
      </w:r>
      <w:bookmarkEnd w:id="39"/>
      <w:bookmarkEnd w:id="40"/>
      <w:bookmarkEnd w:id="41"/>
      <w:bookmarkEnd w:id="42"/>
      <w:bookmarkEnd w:id="43"/>
      <w:bookmarkEnd w:id="46"/>
      <w:bookmarkEnd w:id="47"/>
    </w:p>
    <w:p w:rsidR="00897AA5" w:rsidRDefault="00897AA5" w:rsidP="00897AA5">
      <w:r>
        <w:t>In SA, the Department of Environment, Water and Natural Resources (DEWNR) carr</w:t>
      </w:r>
      <w:r w:rsidR="006C45A3">
        <w:t>ies</w:t>
      </w:r>
      <w:r>
        <w:t xml:space="preserve"> out the majority of WPM activities along with </w:t>
      </w:r>
      <w:r w:rsidR="009E6D52">
        <w:t xml:space="preserve">various local </w:t>
      </w:r>
      <w:r>
        <w:t xml:space="preserve">Natural Resources Management </w:t>
      </w:r>
      <w:r w:rsidR="009E6D52">
        <w:t xml:space="preserve">(NRM) </w:t>
      </w:r>
      <w:r>
        <w:t>Board</w:t>
      </w:r>
      <w:r w:rsidR="009E6D52">
        <w:t>s</w:t>
      </w:r>
      <w:r>
        <w:t xml:space="preserve">. </w:t>
      </w:r>
      <w:r w:rsidR="009E6D52">
        <w:t xml:space="preserve">In the </w:t>
      </w:r>
      <w:r w:rsidR="00CD2442">
        <w:t>South Australian Murray-Darling Basin (</w:t>
      </w:r>
      <w:r w:rsidR="009E6D52">
        <w:t>SAMDB</w:t>
      </w:r>
      <w:r w:rsidR="00CD2442">
        <w:t>)</w:t>
      </w:r>
      <w:r w:rsidR="009E6D52">
        <w:t xml:space="preserve">, the relevant NRM Board is the South Australian </w:t>
      </w:r>
      <w:r w:rsidR="00EB4E77">
        <w:t xml:space="preserve">Murray-Darling Basin </w:t>
      </w:r>
      <w:r w:rsidR="009E6D52">
        <w:t xml:space="preserve">Natural Resources Management Board.  </w:t>
      </w:r>
    </w:p>
    <w:p w:rsidR="0061115E" w:rsidRDefault="00197E5F" w:rsidP="00ED0E65">
      <w:r>
        <w:t>WPM activities in the</w:t>
      </w:r>
      <w:r w:rsidR="00CD2442">
        <w:t xml:space="preserve"> SAMDB</w:t>
      </w:r>
      <w:r>
        <w:t xml:space="preserve"> are funded through State and Federal Government contributions, transaction fees and t</w:t>
      </w:r>
      <w:r w:rsidR="00EB4E77">
        <w:t xml:space="preserve">he </w:t>
      </w:r>
      <w:r>
        <w:t>NRM Water Levy.</w:t>
      </w:r>
      <w:r w:rsidR="00ED0E65">
        <w:t xml:space="preserve"> </w:t>
      </w:r>
    </w:p>
    <w:p w:rsidR="00E07D65" w:rsidRDefault="00E07D65" w:rsidP="00ED0E65">
      <w:r>
        <w:t xml:space="preserve">The Minister (currently the Minister for Water and the River Murray) </w:t>
      </w:r>
      <w:r w:rsidR="00BD2114">
        <w:t>de</w:t>
      </w:r>
      <w:r w:rsidR="00CD2442">
        <w:t>t</w:t>
      </w:r>
      <w:r w:rsidR="00BD2114">
        <w:t>ermines</w:t>
      </w:r>
      <w:r>
        <w:t xml:space="preserve"> </w:t>
      </w:r>
      <w:r w:rsidR="008830C2">
        <w:t>an individual</w:t>
      </w:r>
      <w:r w:rsidR="0061115E">
        <w:t xml:space="preserve"> NRM Water levy </w:t>
      </w:r>
      <w:r>
        <w:t xml:space="preserve">for each NRM Board area in South Australia, including the SAMDB under the </w:t>
      </w:r>
      <w:r w:rsidRPr="00D34D5C">
        <w:rPr>
          <w:rStyle w:val="Emphasis"/>
        </w:rPr>
        <w:t>Natural Resources Management Act</w:t>
      </w:r>
      <w:r>
        <w:t xml:space="preserve"> </w:t>
      </w:r>
      <w:r w:rsidRPr="00D34D5C">
        <w:rPr>
          <w:rStyle w:val="Emphasis"/>
        </w:rPr>
        <w:t xml:space="preserve">2004 </w:t>
      </w:r>
      <w:r>
        <w:t>(SA)</w:t>
      </w:r>
      <w:r w:rsidR="008830C2">
        <w:t>. The NRM water levy may be calculated on a different basis in each NRM area.</w:t>
      </w:r>
    </w:p>
    <w:p w:rsidR="00ED0E65" w:rsidRDefault="008830C2" w:rsidP="00ED0E65">
      <w:r>
        <w:t xml:space="preserve">The transaction fees are levied by the Minister under the </w:t>
      </w:r>
      <w:r w:rsidRPr="00D34D5C">
        <w:rPr>
          <w:rStyle w:val="Emphasis"/>
        </w:rPr>
        <w:t>Natural Resources Management Act</w:t>
      </w:r>
      <w:r>
        <w:t xml:space="preserve"> </w:t>
      </w:r>
      <w:r w:rsidRPr="00D34D5C">
        <w:rPr>
          <w:rStyle w:val="Emphasis"/>
        </w:rPr>
        <w:t xml:space="preserve">2004 </w:t>
      </w:r>
      <w:r>
        <w:t>(SA)</w:t>
      </w:r>
      <w:r w:rsidR="00ED0E65">
        <w:t xml:space="preserve">, and the Natural Resources Management (General) Regulations 2005. </w:t>
      </w:r>
      <w:r>
        <w:t xml:space="preserve">These transaction fees apply for relevant transactions throughout South Australia. </w:t>
      </w:r>
    </w:p>
    <w:p w:rsidR="007101CC" w:rsidRPr="00891FF3" w:rsidRDefault="0087040C">
      <w:pPr>
        <w:rPr>
          <w:szCs w:val="20"/>
        </w:rPr>
      </w:pPr>
      <w:r>
        <w:t xml:space="preserve">WPM </w:t>
      </w:r>
      <w:r w:rsidR="008830C2">
        <w:t xml:space="preserve">transaction </w:t>
      </w:r>
      <w:r>
        <w:t xml:space="preserve">charges for South Australia (Schedule 4) and the </w:t>
      </w:r>
      <w:r w:rsidR="00FF01AB">
        <w:t xml:space="preserve">SAMDB </w:t>
      </w:r>
      <w:r w:rsidR="008830C2">
        <w:t xml:space="preserve">NRM Water levy </w:t>
      </w:r>
      <w:r w:rsidR="00CD2442">
        <w:t>a</w:t>
      </w:r>
      <w:r>
        <w:t>re set out below.</w:t>
      </w:r>
    </w:p>
    <w:p w:rsidR="001E2D05" w:rsidRDefault="00FF0E78" w:rsidP="007101CC">
      <w:r>
        <w:rPr>
          <w:rStyle w:val="TabletitleCha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South Australia Natural Resources Management (General) (Fees) Variation Regulations 2015, Schedule 4, p.1." style="position:absolute;margin-left:-2.8pt;margin-top:16.55pt;width:459.1pt;height:605pt;z-index:251663360;mso-position-horizontal-relative:text;mso-position-vertical-relative:text" wrapcoords="-35 0 -35 21540 21600 21540 21600 0 -35 0">
            <v:imagedata r:id="rId38" o:title=""/>
            <w10:wrap type="tight"/>
          </v:shape>
          <o:OLEObject Type="Embed" ProgID="AcroExch.Document.11" ShapeID="_x0000_s1026" DrawAspect="Content" ObjectID="_1559126981" r:id="rId39"/>
        </w:pict>
      </w:r>
      <w:r w:rsidR="00B33E47" w:rsidRPr="00F90601">
        <w:rPr>
          <w:rStyle w:val="TabletitleChar"/>
        </w:rPr>
        <w:t xml:space="preserve">South Australian WPM </w:t>
      </w:r>
      <w:r w:rsidR="00AA4F9F" w:rsidRPr="00F90601">
        <w:rPr>
          <w:rStyle w:val="TabletitleChar"/>
        </w:rPr>
        <w:t xml:space="preserve">Transaction </w:t>
      </w:r>
      <w:r w:rsidR="00B33E47" w:rsidRPr="00F90601">
        <w:rPr>
          <w:rStyle w:val="TabletitleChar"/>
        </w:rPr>
        <w:t xml:space="preserve">Charges </w:t>
      </w:r>
      <w:r w:rsidR="001C3657" w:rsidRPr="00F90601">
        <w:rPr>
          <w:rStyle w:val="TabletitleChar"/>
        </w:rPr>
        <w:t>2015−16</w:t>
      </w:r>
      <w:bookmarkStart w:id="48" w:name="_Toc418071316"/>
      <w:bookmarkStart w:id="49" w:name="_Toc418495329"/>
      <w:bookmarkStart w:id="50" w:name="_Toc447900574"/>
      <w:bookmarkStart w:id="51" w:name="_Toc449692776"/>
      <w:bookmarkStart w:id="52" w:name="_Toc449692972"/>
      <w:r w:rsidR="00A67967" w:rsidRPr="003E694C">
        <w:rPr>
          <w:rStyle w:val="FootnoteReference"/>
        </w:rPr>
        <w:footnoteReference w:id="28"/>
      </w:r>
    </w:p>
    <w:p w:rsidR="003F1051" w:rsidRPr="00891FF3" w:rsidRDefault="00AB02FC" w:rsidP="00A92837">
      <w:pPr>
        <w:pStyle w:val="Tabletitle"/>
      </w:pPr>
      <w:r>
        <w:object w:dxaOrig="9180" w:dyaOrig="11881">
          <v:shape id="_x0000_i1026" type="#_x0000_t75" alt="South Australia Natural Resources Management (General) (Fees) Variation Regulations 2015, Schedule 4, p.2." style="width:460.4pt;height:594.25pt" o:ole="">
            <v:imagedata r:id="rId40" o:title=""/>
          </v:shape>
          <o:OLEObject Type="Embed" ProgID="AcroExch.Document.11" ShapeID="_x0000_i1026" DrawAspect="Content" ObjectID="_1559126976" r:id="rId41"/>
        </w:object>
      </w:r>
      <w:r w:rsidR="003F1051" w:rsidRPr="00891FF3">
        <w:br w:type="page"/>
      </w:r>
    </w:p>
    <w:p w:rsidR="0020490D" w:rsidRPr="00474C96" w:rsidRDefault="0020490D" w:rsidP="00A63D8E">
      <w:pPr>
        <w:pStyle w:val="Tabletitle"/>
      </w:pPr>
      <w:r w:rsidRPr="00474C96">
        <w:lastRenderedPageBreak/>
        <w:t>NRM Water Levy</w:t>
      </w:r>
      <w:r w:rsidR="00474C96" w:rsidRPr="00474C96">
        <w:t xml:space="preserve"> – Division 2 Levy</w:t>
      </w:r>
      <w:r w:rsidR="00023D73">
        <w:t xml:space="preserve"> in the South Australian Murray-Darling Basin</w:t>
      </w:r>
    </w:p>
    <w:p w:rsidR="00147D30" w:rsidRDefault="00147D30" w:rsidP="0020490D">
      <w:r>
        <w:rPr>
          <w:noProof/>
          <w:lang w:eastAsia="en-AU"/>
        </w:rPr>
        <w:drawing>
          <wp:inline distT="0" distB="0" distL="0" distR="0" wp14:anchorId="399257A8" wp14:editId="3E39ABD6">
            <wp:extent cx="5304762" cy="3761905"/>
            <wp:effectExtent l="0" t="0" r="0" b="0"/>
            <wp:docPr id="56" name="Picture 56" descr="This schedule lists the NRM Water Levy in various parts of the South Australian Murray-Darling Basin for 2015-16 and 2016-17.  " title="NRM Water Levy – Division 2 Levy in the South Australian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04762" cy="3761905"/>
                    </a:xfrm>
                    <a:prstGeom prst="rect">
                      <a:avLst/>
                    </a:prstGeom>
                  </pic:spPr>
                </pic:pic>
              </a:graphicData>
            </a:graphic>
          </wp:inline>
        </w:drawing>
      </w:r>
    </w:p>
    <w:p w:rsidR="00147D30" w:rsidRDefault="00147D30" w:rsidP="0020490D">
      <w:r>
        <w:rPr>
          <w:noProof/>
          <w:lang w:eastAsia="en-AU"/>
        </w:rPr>
        <w:drawing>
          <wp:inline distT="0" distB="0" distL="0" distR="0" wp14:anchorId="4582087C" wp14:editId="288C4B6C">
            <wp:extent cx="5276191" cy="1361905"/>
            <wp:effectExtent l="0" t="0" r="1270" b="0"/>
            <wp:docPr id="61" name="Picture 61" descr="This schedule lists the NRM Water Levy in various parts of the South Australian Murray-Darling Basin for 2015-16 and 2016-17. " title="NRM Water Levy – Division 2 Levy in the South Australian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6191" cy="1361905"/>
                    </a:xfrm>
                    <a:prstGeom prst="rect">
                      <a:avLst/>
                    </a:prstGeom>
                  </pic:spPr>
                </pic:pic>
              </a:graphicData>
            </a:graphic>
          </wp:inline>
        </w:drawing>
      </w:r>
    </w:p>
    <w:p w:rsidR="00897AA5" w:rsidRDefault="004A301C" w:rsidP="00736EBA">
      <w:pPr>
        <w:pStyle w:val="Numbered111"/>
      </w:pPr>
      <w:bookmarkStart w:id="53" w:name="_Toc485303333"/>
      <w:bookmarkEnd w:id="48"/>
      <w:bookmarkEnd w:id="49"/>
      <w:bookmarkEnd w:id="50"/>
      <w:bookmarkEnd w:id="51"/>
      <w:bookmarkEnd w:id="52"/>
      <w:r>
        <w:t>Murray-Darling Basin Authority</w:t>
      </w:r>
      <w:bookmarkEnd w:id="53"/>
    </w:p>
    <w:p w:rsidR="00897AA5" w:rsidRDefault="00897AA5" w:rsidP="00081B94">
      <w:r>
        <w:t xml:space="preserve">WPM activities are carried out by the Murray-Darling Basin Authority (MDBA). However, in </w:t>
      </w:r>
      <w:r w:rsidR="001C3657">
        <w:t>2015−16</w:t>
      </w:r>
      <w:r w:rsidR="00486288">
        <w:t xml:space="preserve"> </w:t>
      </w:r>
      <w:r>
        <w:t>the MDBA did not impose any regulated WPM charges</w:t>
      </w:r>
      <w:r w:rsidR="00ED5821">
        <w:t xml:space="preserve"> (and has not imposed charges over the period for which the ACCC has been monitoring regulated charges)</w:t>
      </w:r>
      <w:r>
        <w:t>.</w:t>
      </w:r>
      <w:r w:rsidR="00366DD8">
        <w:t xml:space="preserve"> For further discussion on the MDBA’s role in WPM activities</w:t>
      </w:r>
      <w:r w:rsidR="005C72AB">
        <w:t xml:space="preserve"> and how these activities are funded</w:t>
      </w:r>
      <w:r w:rsidR="00366DD8">
        <w:t xml:space="preserve">, see section 3.2.1 of the </w:t>
      </w:r>
      <w:r w:rsidR="00ED5821">
        <w:t>main report</w:t>
      </w:r>
      <w:r w:rsidR="00366DD8">
        <w:t>.</w:t>
      </w:r>
    </w:p>
    <w:p w:rsidR="008024C6" w:rsidRDefault="008024C6" w:rsidP="00891FF3">
      <w:bookmarkStart w:id="54" w:name="_Toc418071318"/>
      <w:bookmarkStart w:id="55" w:name="_Toc449692974"/>
      <w:r>
        <w:br w:type="page"/>
      </w:r>
    </w:p>
    <w:p w:rsidR="00897AA5" w:rsidRDefault="00897AA5" w:rsidP="00736EBA">
      <w:pPr>
        <w:pStyle w:val="Numbered11"/>
      </w:pPr>
      <w:bookmarkStart w:id="56" w:name="_Toc485303334"/>
      <w:r>
        <w:lastRenderedPageBreak/>
        <w:t xml:space="preserve">Assumptions for the </w:t>
      </w:r>
      <w:r w:rsidR="001C3657">
        <w:t>2015−16</w:t>
      </w:r>
      <w:r>
        <w:t xml:space="preserve"> estimated WPM revenues and WPM costs</w:t>
      </w:r>
      <w:bookmarkEnd w:id="54"/>
      <w:bookmarkEnd w:id="55"/>
      <w:bookmarkEnd w:id="56"/>
    </w:p>
    <w:p w:rsidR="007E0CBD" w:rsidRPr="007E0CBD" w:rsidRDefault="007E0CBD" w:rsidP="003F1051">
      <w:r>
        <w:t xml:space="preserve">In the RFIs sent to the </w:t>
      </w:r>
      <w:r w:rsidR="008024C6">
        <w:t>five</w:t>
      </w:r>
      <w:r>
        <w:t xml:space="preserve"> Basin State Departments and </w:t>
      </w:r>
      <w:r w:rsidR="00366DD8">
        <w:t xml:space="preserve">four </w:t>
      </w:r>
      <w:r>
        <w:t>water authorities</w:t>
      </w:r>
      <w:r w:rsidR="005E23FC">
        <w:t xml:space="preserve"> (‘WPM RFIs’)</w:t>
      </w:r>
      <w:r>
        <w:t xml:space="preserve">, the ACCC requested information on the activities of these </w:t>
      </w:r>
      <w:r w:rsidR="009F05E8">
        <w:t xml:space="preserve">entities </w:t>
      </w:r>
      <w:r>
        <w:t xml:space="preserve">as well as the costs involved in performing these activities. </w:t>
      </w:r>
    </w:p>
    <w:p w:rsidR="00897AA5" w:rsidRDefault="00897AA5" w:rsidP="00736EBA">
      <w:pPr>
        <w:pStyle w:val="Numbered111"/>
      </w:pPr>
      <w:bookmarkStart w:id="57" w:name="_Toc418071319"/>
      <w:bookmarkStart w:id="58" w:name="_Toc418495332"/>
      <w:bookmarkStart w:id="59" w:name="_Toc447900577"/>
      <w:bookmarkStart w:id="60" w:name="_Toc449692779"/>
      <w:bookmarkStart w:id="61" w:name="_Toc449692975"/>
      <w:bookmarkStart w:id="62" w:name="_Toc485303335"/>
      <w:r>
        <w:t>Department of Natural Resources and Mines, Queensland</w:t>
      </w:r>
      <w:bookmarkEnd w:id="57"/>
      <w:bookmarkEnd w:id="58"/>
      <w:bookmarkEnd w:id="59"/>
      <w:bookmarkEnd w:id="60"/>
      <w:bookmarkEnd w:id="61"/>
      <w:bookmarkEnd w:id="62"/>
    </w:p>
    <w:p w:rsidR="00897AA5" w:rsidRDefault="00E510D9" w:rsidP="00897AA5">
      <w:r>
        <w:t>As noted above, r</w:t>
      </w:r>
      <w:r w:rsidR="00897AA5">
        <w:t xml:space="preserve">egulated WPM charges are determined by the Queensland Government as per Schedules 14, 15A and 16 of the Water Regulations 2002 made under the </w:t>
      </w:r>
      <w:r w:rsidR="00897AA5" w:rsidRPr="00D34D5C">
        <w:rPr>
          <w:rStyle w:val="Emphasis"/>
        </w:rPr>
        <w:t>Water Act 2000</w:t>
      </w:r>
      <w:r w:rsidR="00897AA5">
        <w:t xml:space="preserve"> (Qld).</w:t>
      </w:r>
    </w:p>
    <w:p w:rsidR="00897AA5" w:rsidRDefault="005E23FC" w:rsidP="00897AA5">
      <w:r>
        <w:t xml:space="preserve">DNRM reports WPM revenue relating to </w:t>
      </w:r>
      <w:r w:rsidR="00041872">
        <w:t xml:space="preserve">the following types of </w:t>
      </w:r>
      <w:r w:rsidR="00D959F3">
        <w:t>regulated charge</w:t>
      </w:r>
      <w:r w:rsidR="00041872">
        <w:t>s</w:t>
      </w:r>
      <w:r w:rsidR="00D959F3">
        <w:t>:</w:t>
      </w:r>
      <w:r w:rsidR="00897AA5">
        <w:t xml:space="preserve"> </w:t>
      </w:r>
    </w:p>
    <w:p w:rsidR="00897AA5" w:rsidRPr="00F6221D" w:rsidRDefault="00897AA5" w:rsidP="00DA47C0">
      <w:pPr>
        <w:pStyle w:val="Bulletpoint"/>
      </w:pPr>
      <w:r w:rsidRPr="00F6221D">
        <w:t>surface and groundwater management area fees (both water access entitlement and usage)</w:t>
      </w:r>
    </w:p>
    <w:p w:rsidR="00897AA5" w:rsidRPr="00F6221D" w:rsidRDefault="00897AA5" w:rsidP="00DA47C0">
      <w:pPr>
        <w:pStyle w:val="Bulletpoint"/>
      </w:pPr>
      <w:r w:rsidRPr="00F6221D">
        <w:t xml:space="preserve">water licence fees </w:t>
      </w:r>
      <w:r w:rsidR="00E510D9" w:rsidRPr="00F6221D">
        <w:t>(including transaction revenue from the stakeholders trading, amalgamating and cancelling water allocations</w:t>
      </w:r>
      <w:r w:rsidR="00A86A0A" w:rsidRPr="00F6221D">
        <w:t>)</w:t>
      </w:r>
    </w:p>
    <w:p w:rsidR="00113D95" w:rsidRPr="00F6221D" w:rsidRDefault="00113D95" w:rsidP="00DA47C0">
      <w:pPr>
        <w:pStyle w:val="Bulletpoint"/>
      </w:pPr>
      <w:r w:rsidRPr="00F6221D">
        <w:t>metering charges</w:t>
      </w:r>
    </w:p>
    <w:p w:rsidR="00D32039" w:rsidRPr="00F6221D" w:rsidRDefault="00D32039" w:rsidP="00DA47C0">
      <w:pPr>
        <w:pStyle w:val="Bulletpoint"/>
      </w:pPr>
      <w:r w:rsidRPr="00F6221D">
        <w:t>print outs of titles relating to water allocations</w:t>
      </w:r>
    </w:p>
    <w:p w:rsidR="00D959F3" w:rsidRPr="00F6221D" w:rsidRDefault="00D959F3" w:rsidP="00DA47C0">
      <w:pPr>
        <w:pStyle w:val="Bulletpoint"/>
      </w:pPr>
      <w:r w:rsidRPr="00F6221D">
        <w:t xml:space="preserve">registration of instrument fees </w:t>
      </w:r>
    </w:p>
    <w:p w:rsidR="00897AA5" w:rsidRPr="00F6221D" w:rsidRDefault="00897AA5" w:rsidP="00DA47C0">
      <w:pPr>
        <w:pStyle w:val="Bulletpoint"/>
      </w:pPr>
      <w:r w:rsidRPr="00F6221D">
        <w:t>other transaction charges.</w:t>
      </w:r>
    </w:p>
    <w:p w:rsidR="00897AA5" w:rsidRDefault="00A86A0A" w:rsidP="00897AA5">
      <w:r>
        <w:t>The revenue includes only those</w:t>
      </w:r>
      <w:r w:rsidR="00897AA5">
        <w:t xml:space="preserve"> water surface and groundwater management fees and metering charges </w:t>
      </w:r>
      <w:r>
        <w:t xml:space="preserve">that </w:t>
      </w:r>
      <w:r w:rsidR="00897AA5">
        <w:t xml:space="preserve">are collected from the water users within the MDB, while the </w:t>
      </w:r>
      <w:r>
        <w:t xml:space="preserve">revenue from </w:t>
      </w:r>
      <w:r w:rsidR="00897AA5">
        <w:t xml:space="preserve">licence fees </w:t>
      </w:r>
      <w:r w:rsidR="00FF01AB">
        <w:t xml:space="preserve">and other transaction charges </w:t>
      </w:r>
      <w:r>
        <w:t xml:space="preserve">is </w:t>
      </w:r>
      <w:r w:rsidR="00FF01AB">
        <w:t xml:space="preserve">collected </w:t>
      </w:r>
      <w:r w:rsidR="00897AA5">
        <w:t>on a state</w:t>
      </w:r>
      <w:r w:rsidR="00897AA5">
        <w:noBreakHyphen/>
        <w:t xml:space="preserve">wide basis. </w:t>
      </w:r>
    </w:p>
    <w:p w:rsidR="00897AA5" w:rsidRDefault="00366DD8" w:rsidP="00897AA5">
      <w:r>
        <w:t xml:space="preserve">For the reasons set out at section 2.1, </w:t>
      </w:r>
      <w:r w:rsidR="00897AA5">
        <w:t xml:space="preserve">DNRM did not provide cost data for </w:t>
      </w:r>
      <w:r w:rsidR="00FF01AB">
        <w:t xml:space="preserve">its </w:t>
      </w:r>
      <w:r w:rsidR="00897AA5">
        <w:t xml:space="preserve">WPM activities in </w:t>
      </w:r>
      <w:r w:rsidR="001C3657">
        <w:t>2015−16</w:t>
      </w:r>
      <w:r w:rsidR="00897AA5">
        <w:t>.</w:t>
      </w:r>
    </w:p>
    <w:p w:rsidR="00AA30EE" w:rsidRDefault="008658CD" w:rsidP="00AA30EE">
      <w:pPr>
        <w:pStyle w:val="Numbered111"/>
      </w:pPr>
      <w:bookmarkStart w:id="63" w:name="_Toc485303336"/>
      <w:r>
        <w:t>DPI Water, NSW</w:t>
      </w:r>
      <w:bookmarkEnd w:id="63"/>
    </w:p>
    <w:p w:rsidR="00AA30EE" w:rsidRDefault="00AA30EE" w:rsidP="00AA30EE">
      <w:r>
        <w:t>As noted above, regulated WPM charges in 2015-16 were determined by IPART, the relevant Minister and the ACCC.</w:t>
      </w:r>
      <w:r w:rsidR="003A57E8">
        <w:t xml:space="preserve"> Each of these entities determined different types of WPM charges.</w:t>
      </w:r>
    </w:p>
    <w:p w:rsidR="00AA30EE" w:rsidRDefault="00AA30EE" w:rsidP="00AA30EE">
      <w:r>
        <w:t>DPI Water reports WPM revenue relating to the following types of charges:</w:t>
      </w:r>
    </w:p>
    <w:p w:rsidR="00AA30EE" w:rsidRPr="00F6221D" w:rsidRDefault="00AA30EE" w:rsidP="00DA47C0">
      <w:pPr>
        <w:pStyle w:val="Bulletpoint"/>
      </w:pPr>
      <w:r w:rsidRPr="00F6221D">
        <w:t>Water management charges (both access and usage charges)</w:t>
      </w:r>
    </w:p>
    <w:p w:rsidR="00AA30EE" w:rsidRPr="00F6221D" w:rsidRDefault="00AA30EE" w:rsidP="00DA47C0">
      <w:pPr>
        <w:pStyle w:val="Bulletpoint"/>
      </w:pPr>
      <w:r w:rsidRPr="00F6221D">
        <w:t>Transaction fees related to water management area licences and approvals</w:t>
      </w:r>
      <w:r w:rsidR="00063074" w:rsidRPr="00F6221D">
        <w:t>.</w:t>
      </w:r>
      <w:r w:rsidRPr="00F6221D">
        <w:t xml:space="preserve">  </w:t>
      </w:r>
    </w:p>
    <w:p w:rsidR="00063074" w:rsidRDefault="003A57E8" w:rsidP="00F90601">
      <w:r>
        <w:t xml:space="preserve">DPI Water provided a breakdown of the costs of its WPM activities to the ACCC by NWI category. </w:t>
      </w:r>
    </w:p>
    <w:p w:rsidR="00063074" w:rsidRDefault="00063074" w:rsidP="00063074">
      <w:r>
        <w:t>Both the revenues raised from WPM charges and the costs of WPM activities reported cover the entire state of New South Wales (i.e. not only the Murray-Darling Basin).</w:t>
      </w:r>
    </w:p>
    <w:p w:rsidR="00D24459" w:rsidRDefault="001A6E0D" w:rsidP="00F90601">
      <w:r>
        <w:t xml:space="preserve">The analysis in the main report </w:t>
      </w:r>
      <w:r w:rsidR="004178A1">
        <w:t>does not include the information regarding</w:t>
      </w:r>
      <w:r w:rsidR="00D24459">
        <w:t>:</w:t>
      </w:r>
    </w:p>
    <w:p w:rsidR="004178A1" w:rsidRPr="00F6221D" w:rsidRDefault="008658CD" w:rsidP="00DA47C0">
      <w:pPr>
        <w:pStyle w:val="Bulletpoint"/>
      </w:pPr>
      <w:r w:rsidRPr="00F6221D">
        <w:t xml:space="preserve">WPM </w:t>
      </w:r>
      <w:r w:rsidR="004178A1" w:rsidRPr="00F6221D">
        <w:t>charges imposed by WaterNSW and Land and Property Information</w:t>
      </w:r>
    </w:p>
    <w:p w:rsidR="00063074" w:rsidRPr="00F6221D" w:rsidRDefault="004178A1" w:rsidP="00DA47C0">
      <w:pPr>
        <w:pStyle w:val="Bulletpoint"/>
      </w:pPr>
      <w:r w:rsidRPr="00F6221D">
        <w:t>WPM costs and activities undertaken by WaterNSW</w:t>
      </w:r>
      <w:r w:rsidR="008658CD" w:rsidRPr="00F6221D">
        <w:t>.</w:t>
      </w:r>
    </w:p>
    <w:p w:rsidR="00897AA5" w:rsidRDefault="00897AA5" w:rsidP="00736EBA">
      <w:pPr>
        <w:pStyle w:val="Numbered111"/>
      </w:pPr>
      <w:bookmarkStart w:id="64" w:name="_Toc447900579"/>
      <w:bookmarkStart w:id="65" w:name="_Toc447900580"/>
      <w:bookmarkStart w:id="66" w:name="_Toc418071321"/>
      <w:bookmarkStart w:id="67" w:name="_Toc418495334"/>
      <w:bookmarkStart w:id="68" w:name="_Toc447900581"/>
      <w:bookmarkStart w:id="69" w:name="_Toc449692781"/>
      <w:bookmarkStart w:id="70" w:name="_Toc449692977"/>
      <w:bookmarkStart w:id="71" w:name="_Toc485303337"/>
      <w:bookmarkEnd w:id="64"/>
      <w:bookmarkEnd w:id="65"/>
      <w:r>
        <w:lastRenderedPageBreak/>
        <w:t xml:space="preserve">Environmental Planning </w:t>
      </w:r>
      <w:r w:rsidR="00F52E5E">
        <w:t xml:space="preserve">and Sustainable Development </w:t>
      </w:r>
      <w:r>
        <w:t>Directorate, ACT</w:t>
      </w:r>
      <w:bookmarkEnd w:id="66"/>
      <w:bookmarkEnd w:id="67"/>
      <w:bookmarkEnd w:id="68"/>
      <w:bookmarkEnd w:id="69"/>
      <w:bookmarkEnd w:id="70"/>
      <w:bookmarkEnd w:id="71"/>
    </w:p>
    <w:p w:rsidR="00897AA5" w:rsidRDefault="00FD4D1D" w:rsidP="00897AA5">
      <w:r>
        <w:t>As noted above, r</w:t>
      </w:r>
      <w:r w:rsidR="00897AA5">
        <w:t xml:space="preserve">egulated WPM charges are determined by the </w:t>
      </w:r>
      <w:r w:rsidR="00F52E5E">
        <w:t xml:space="preserve">relevant Minister (currently the </w:t>
      </w:r>
      <w:r w:rsidR="00897AA5">
        <w:t xml:space="preserve">ACT </w:t>
      </w:r>
      <w:r w:rsidR="00F52E5E">
        <w:t xml:space="preserve">Minister for </w:t>
      </w:r>
      <w:r w:rsidR="00C75A64">
        <w:t xml:space="preserve">the </w:t>
      </w:r>
      <w:r w:rsidR="00F52E5E">
        <w:t>Environment</w:t>
      </w:r>
      <w:r w:rsidR="003532D2">
        <w:t xml:space="preserve"> and Heritage</w:t>
      </w:r>
      <w:r w:rsidR="00F52E5E">
        <w:t xml:space="preserve">) </w:t>
      </w:r>
      <w:r w:rsidR="00897AA5">
        <w:t xml:space="preserve">and </w:t>
      </w:r>
      <w:r w:rsidR="00FF01AB">
        <w:t>set out in</w:t>
      </w:r>
      <w:r w:rsidR="00897AA5">
        <w:t xml:space="preserve"> the Water Resources (Fees) Determination </w:t>
      </w:r>
      <w:r w:rsidR="00F52E5E">
        <w:t xml:space="preserve">2015 </w:t>
      </w:r>
      <w:r w:rsidR="00897AA5">
        <w:t xml:space="preserve">(ACT) made under the </w:t>
      </w:r>
      <w:r w:rsidR="00897AA5" w:rsidRPr="00D34D5C">
        <w:rPr>
          <w:rStyle w:val="Emphasis"/>
        </w:rPr>
        <w:t>Water Resources Act 2007</w:t>
      </w:r>
      <w:r w:rsidR="00897AA5">
        <w:t xml:space="preserve"> (ACT).</w:t>
      </w:r>
    </w:p>
    <w:p w:rsidR="00FF01AB" w:rsidRDefault="00897AA5" w:rsidP="00DA47C0">
      <w:r w:rsidRPr="00A85D9D">
        <w:t xml:space="preserve">The </w:t>
      </w:r>
      <w:r w:rsidR="00FF01AB">
        <w:t>ACT Government’s</w:t>
      </w:r>
      <w:r w:rsidR="00FF01AB" w:rsidRPr="00A85D9D">
        <w:t xml:space="preserve"> </w:t>
      </w:r>
      <w:r w:rsidRPr="00A85D9D">
        <w:t xml:space="preserve">total WPM revenue </w:t>
      </w:r>
      <w:r w:rsidR="00B74F01">
        <w:t xml:space="preserve">for </w:t>
      </w:r>
      <w:r w:rsidR="001C3657">
        <w:t>2015−16</w:t>
      </w:r>
      <w:r w:rsidR="00B74F01">
        <w:t xml:space="preserve"> </w:t>
      </w:r>
      <w:r w:rsidRPr="00A85D9D">
        <w:t>is based on revenue collected from</w:t>
      </w:r>
      <w:r w:rsidR="00FF01AB">
        <w:t>:</w:t>
      </w:r>
    </w:p>
    <w:p w:rsidR="00FF01AB" w:rsidRPr="00F6221D" w:rsidRDefault="00FF01AB" w:rsidP="00DA47C0">
      <w:pPr>
        <w:pStyle w:val="Bulletpoint"/>
      </w:pPr>
      <w:r w:rsidRPr="00F6221D">
        <w:t>th</w:t>
      </w:r>
      <w:r w:rsidR="00897AA5" w:rsidRPr="00F6221D">
        <w:t>e Water Abstraction Charge</w:t>
      </w:r>
      <w:r w:rsidR="00B74F01" w:rsidRPr="00F6221D">
        <w:t xml:space="preserve"> </w:t>
      </w:r>
    </w:p>
    <w:p w:rsidR="00897AA5" w:rsidRPr="00F6221D" w:rsidRDefault="00D261E8" w:rsidP="00DA47C0">
      <w:pPr>
        <w:pStyle w:val="Bulletpoint"/>
      </w:pPr>
      <w:r w:rsidRPr="00F6221D">
        <w:t xml:space="preserve">various </w:t>
      </w:r>
      <w:r w:rsidR="00897AA5" w:rsidRPr="00F6221D">
        <w:t xml:space="preserve">transaction charges. </w:t>
      </w:r>
    </w:p>
    <w:p w:rsidR="00897AA5" w:rsidRDefault="00897AA5" w:rsidP="00897AA5">
      <w:r>
        <w:t xml:space="preserve">The majority of the revenue collected was received from urban water users rather than </w:t>
      </w:r>
      <w:r w:rsidR="00A6748F">
        <w:t>rural users (</w:t>
      </w:r>
      <w:r>
        <w:t>irrigators</w:t>
      </w:r>
      <w:r w:rsidR="00A6748F">
        <w:t>)</w:t>
      </w:r>
      <w:r>
        <w:t>.</w:t>
      </w:r>
    </w:p>
    <w:p w:rsidR="00014BAE" w:rsidRDefault="00014BAE" w:rsidP="00897AA5">
      <w:r>
        <w:t>The ACT Government did not provide information regarding the costs of WPM activities in its RFI response</w:t>
      </w:r>
      <w:r w:rsidR="00A6748F">
        <w:t>,</w:t>
      </w:r>
      <w:r>
        <w:t xml:space="preserve"> stating ‘</w:t>
      </w:r>
      <w:r w:rsidRPr="00014BAE">
        <w:t>it is difficult for the ACT to accurately provide a comprehensive analysis of costs across the activities listed</w:t>
      </w:r>
      <w:r>
        <w:t>’ in the RFI</w:t>
      </w:r>
      <w:r w:rsidR="00BD2114">
        <w:t xml:space="preserve"> return</w:t>
      </w:r>
      <w:r w:rsidRPr="00014BAE">
        <w:t>.</w:t>
      </w:r>
      <w:r>
        <w:t xml:space="preserve"> </w:t>
      </w:r>
      <w:r w:rsidR="00A6748F">
        <w:t>However, it provided an</w:t>
      </w:r>
      <w:r w:rsidR="00721907">
        <w:t xml:space="preserve"> analysis of its WPM costs</w:t>
      </w:r>
      <w:r>
        <w:t xml:space="preserve">, broken down by project. </w:t>
      </w:r>
    </w:p>
    <w:p w:rsidR="00230758" w:rsidRDefault="00230758" w:rsidP="00736EBA">
      <w:pPr>
        <w:pStyle w:val="Numbered111"/>
      </w:pPr>
      <w:bookmarkStart w:id="72" w:name="_Toc482278773"/>
      <w:bookmarkStart w:id="73" w:name="_Toc485303338"/>
      <w:bookmarkEnd w:id="72"/>
      <w:r w:rsidRPr="00230758">
        <w:t>Department of Environment, Land, Water and Planning, Victoria</w:t>
      </w:r>
      <w:bookmarkEnd w:id="73"/>
    </w:p>
    <w:p w:rsidR="00897AA5" w:rsidRDefault="00225412" w:rsidP="00897AA5">
      <w:r>
        <w:t>As noted above, r</w:t>
      </w:r>
      <w:r w:rsidR="00897AA5">
        <w:t xml:space="preserve">egulated WPM charges are determined by the </w:t>
      </w:r>
      <w:r w:rsidR="004A1ADA">
        <w:t xml:space="preserve">Minister </w:t>
      </w:r>
      <w:r w:rsidR="00897AA5">
        <w:t xml:space="preserve">by regulation under the Water (Resource Management) Regulations 2007 and the </w:t>
      </w:r>
      <w:r w:rsidR="00897AA5" w:rsidRPr="00D34D5C">
        <w:rPr>
          <w:rStyle w:val="Emphasis"/>
        </w:rPr>
        <w:t>Water Industry Act 1994</w:t>
      </w:r>
      <w:r w:rsidR="00897AA5">
        <w:t xml:space="preserve"> (Vic).</w:t>
      </w:r>
    </w:p>
    <w:p w:rsidR="0095796A" w:rsidRDefault="00897AA5" w:rsidP="00081B94">
      <w:r>
        <w:t xml:space="preserve">DELWP </w:t>
      </w:r>
      <w:r w:rsidR="00B74F01">
        <w:t xml:space="preserve">collects its </w:t>
      </w:r>
      <w:r>
        <w:t>WPM revenue from</w:t>
      </w:r>
      <w:r w:rsidR="00B74F01">
        <w:t xml:space="preserve"> the </w:t>
      </w:r>
      <w:r w:rsidR="00C4714D">
        <w:t>E</w:t>
      </w:r>
      <w:r w:rsidR="00B74F01">
        <w:t xml:space="preserve">nvironmental </w:t>
      </w:r>
      <w:r w:rsidR="00C4714D">
        <w:t>C</w:t>
      </w:r>
      <w:r w:rsidR="00B74F01">
        <w:t>ontribution, charges for services provided by the Victorian Water Registry and salinity management charges imposed in salinity management zones.</w:t>
      </w:r>
      <w:r w:rsidR="0095796A">
        <w:rPr>
          <w:rStyle w:val="FootnoteReference"/>
        </w:rPr>
        <w:footnoteReference w:id="29"/>
      </w:r>
      <w:r w:rsidR="0095796A">
        <w:t xml:space="preserve"> </w:t>
      </w:r>
    </w:p>
    <w:p w:rsidR="00A535C9" w:rsidRPr="00891FF3" w:rsidRDefault="0095796A" w:rsidP="00081B94">
      <w:r>
        <w:t xml:space="preserve">The revenue collected from the </w:t>
      </w:r>
      <w:r w:rsidR="00C4714D">
        <w:t>E</w:t>
      </w:r>
      <w:r>
        <w:t xml:space="preserve">nvironmental </w:t>
      </w:r>
      <w:r w:rsidR="00C4714D">
        <w:t>C</w:t>
      </w:r>
      <w:r>
        <w:t xml:space="preserve">ontribution </w:t>
      </w:r>
      <w:r w:rsidR="00C4714D">
        <w:t xml:space="preserve">(EC) </w:t>
      </w:r>
      <w:r>
        <w:t xml:space="preserve">forms the overwhelming majority of DELWP’s revenue. The </w:t>
      </w:r>
      <w:r w:rsidR="00C4714D">
        <w:t xml:space="preserve">EC </w:t>
      </w:r>
      <w:r>
        <w:t>is set by the Minister as a fixed percentage of the revenue raised from the allowed revenue of water authorities (5 per cent of revenue from urban water authorities and 2 per cent of revenue from rural water authorities respectively).</w:t>
      </w:r>
      <w:r w:rsidRPr="00863195">
        <w:rPr>
          <w:rStyle w:val="FootnoteReference"/>
        </w:rPr>
        <w:footnoteReference w:id="30"/>
      </w:r>
      <w:r>
        <w:t xml:space="preserve"> </w:t>
      </w:r>
    </w:p>
    <w:p w:rsidR="009A3323" w:rsidRDefault="00A535C9" w:rsidP="00081B94">
      <w:r>
        <w:t>Both the revenues raised from WPM charges and the costs of WPM activities reported cover the entire state of Victoria (i.e. not only the Murray</w:t>
      </w:r>
      <w:r w:rsidR="00721907">
        <w:t>-</w:t>
      </w:r>
      <w:r>
        <w:t>Darling Basin).</w:t>
      </w:r>
    </w:p>
    <w:p w:rsidR="00897AA5" w:rsidRDefault="00897AA5" w:rsidP="00736EBA">
      <w:pPr>
        <w:pStyle w:val="Numbered111"/>
      </w:pPr>
      <w:bookmarkStart w:id="74" w:name="_Toc418071323"/>
      <w:bookmarkStart w:id="75" w:name="_Toc418495336"/>
      <w:bookmarkStart w:id="76" w:name="_Toc447900587"/>
      <w:bookmarkStart w:id="77" w:name="_Toc449692783"/>
      <w:bookmarkStart w:id="78" w:name="_Toc449692979"/>
      <w:bookmarkStart w:id="79" w:name="_Toc485303339"/>
      <w:r>
        <w:t>Goulburn-Murray Water, Lower Murray Water and Grampians Wimmera Mallee Water, Victoria</w:t>
      </w:r>
      <w:bookmarkEnd w:id="74"/>
      <w:bookmarkEnd w:id="75"/>
      <w:bookmarkEnd w:id="76"/>
      <w:bookmarkEnd w:id="77"/>
      <w:bookmarkEnd w:id="78"/>
      <w:bookmarkEnd w:id="79"/>
    </w:p>
    <w:p w:rsidR="001C6B29" w:rsidRPr="00D34D5C" w:rsidRDefault="00897AA5" w:rsidP="00D34D5C">
      <w:r w:rsidRPr="00D34D5C">
        <w:t xml:space="preserve">The rural water authorities GMW, LMW and GWMW were delegated responsibilities </w:t>
      </w:r>
      <w:r w:rsidR="001C6B29" w:rsidRPr="00D34D5C">
        <w:t xml:space="preserve">by the Minister </w:t>
      </w:r>
      <w:r w:rsidRPr="00D34D5C">
        <w:t xml:space="preserve">under the </w:t>
      </w:r>
      <w:r w:rsidRPr="00C4714D">
        <w:rPr>
          <w:rStyle w:val="Emphasis"/>
        </w:rPr>
        <w:t>Water Act 1989</w:t>
      </w:r>
      <w:r w:rsidRPr="00D34D5C">
        <w:t xml:space="preserve"> (Vic) to </w:t>
      </w:r>
      <w:r w:rsidR="001C6B29" w:rsidRPr="00D34D5C">
        <w:t>approve water share dealings such as transferring, dividing, consolidating, issuing and cancelling a water share and the trade of water allocations.</w:t>
      </w:r>
      <w:r w:rsidR="001C6B29" w:rsidRPr="00D34D5C" w:rsidDel="001C6B29">
        <w:t xml:space="preserve"> </w:t>
      </w:r>
      <w:r w:rsidRPr="00D34D5C">
        <w:t xml:space="preserve"> </w:t>
      </w:r>
    </w:p>
    <w:p w:rsidR="001C6B29" w:rsidRPr="00D34D5C" w:rsidRDefault="00094659" w:rsidP="00D34D5C">
      <w:r w:rsidRPr="00D34D5C">
        <w:t xml:space="preserve">Certain </w:t>
      </w:r>
      <w:r w:rsidR="001C6B29" w:rsidRPr="00D34D5C">
        <w:t xml:space="preserve">miscellaneous WPM </w:t>
      </w:r>
      <w:r w:rsidR="00897AA5" w:rsidRPr="00D34D5C">
        <w:t xml:space="preserve">charges </w:t>
      </w:r>
      <w:r w:rsidR="001C6B29" w:rsidRPr="00D34D5C">
        <w:t>are regulated by the Essential Services Commission.</w:t>
      </w:r>
      <w:r w:rsidR="001C6B29" w:rsidRPr="00D34D5C">
        <w:rPr>
          <w:rStyle w:val="FootnoteReference"/>
        </w:rPr>
        <w:footnoteReference w:id="31"/>
      </w:r>
    </w:p>
    <w:p w:rsidR="009A3323" w:rsidRDefault="00897AA5" w:rsidP="003F1051">
      <w:r>
        <w:lastRenderedPageBreak/>
        <w:t xml:space="preserve">GMW </w:t>
      </w:r>
      <w:r w:rsidR="0020667E">
        <w:t xml:space="preserve">gained </w:t>
      </w:r>
      <w:r w:rsidR="009A3323">
        <w:t xml:space="preserve">its WPM revenue </w:t>
      </w:r>
      <w:r w:rsidR="001C6B29">
        <w:t xml:space="preserve">entirely </w:t>
      </w:r>
      <w:r w:rsidR="0020667E">
        <w:t>through</w:t>
      </w:r>
      <w:r>
        <w:t xml:space="preserve"> revenue collected from</w:t>
      </w:r>
      <w:r w:rsidR="0020667E">
        <w:t xml:space="preserve"> </w:t>
      </w:r>
      <w:r>
        <w:t>transaction charges levied in the MDB.</w:t>
      </w:r>
      <w:r w:rsidR="0020667E">
        <w:t xml:space="preserve"> </w:t>
      </w:r>
    </w:p>
    <w:p w:rsidR="00897AA5" w:rsidRDefault="00897AA5" w:rsidP="00897AA5">
      <w:r>
        <w:t xml:space="preserve">GWMW </w:t>
      </w:r>
      <w:r w:rsidR="009A3323">
        <w:t xml:space="preserve">collected its revenue </w:t>
      </w:r>
      <w:r>
        <w:t>from</w:t>
      </w:r>
      <w:r w:rsidR="009A3323">
        <w:t xml:space="preserve"> </w:t>
      </w:r>
      <w:r>
        <w:t>fixed water access right charges and</w:t>
      </w:r>
      <w:r w:rsidR="009A3323">
        <w:t xml:space="preserve"> </w:t>
      </w:r>
      <w:r>
        <w:t xml:space="preserve">transaction charges levied in the MDB. In </w:t>
      </w:r>
      <w:r w:rsidR="00411297">
        <w:t xml:space="preserve">its </w:t>
      </w:r>
      <w:r>
        <w:t xml:space="preserve">RFI, GWMW reported a </w:t>
      </w:r>
      <w:r w:rsidR="009A3323">
        <w:t xml:space="preserve">majority of its </w:t>
      </w:r>
      <w:r w:rsidR="00832589">
        <w:t xml:space="preserve">costs </w:t>
      </w:r>
      <w:r w:rsidR="009A3323">
        <w:t>as</w:t>
      </w:r>
      <w:r w:rsidR="00832589">
        <w:t xml:space="preserve"> capital costs and the remainder</w:t>
      </w:r>
      <w:r w:rsidR="00411297">
        <w:t xml:space="preserve"> as</w:t>
      </w:r>
      <w:r w:rsidR="00832589">
        <w:t xml:space="preserve"> operating costs</w:t>
      </w:r>
      <w:r>
        <w:t>.</w:t>
      </w:r>
      <w:r>
        <w:tab/>
      </w:r>
    </w:p>
    <w:p w:rsidR="00897AA5" w:rsidRDefault="00897AA5" w:rsidP="00735311">
      <w:r>
        <w:t xml:space="preserve">LMW total </w:t>
      </w:r>
      <w:r w:rsidR="00707AE6">
        <w:t xml:space="preserve">WPM </w:t>
      </w:r>
      <w:r>
        <w:t xml:space="preserve">revenue </w:t>
      </w:r>
      <w:r w:rsidR="006B2D99">
        <w:t xml:space="preserve">was mainly raised from </w:t>
      </w:r>
      <w:r w:rsidR="000F09F6">
        <w:t>fixed</w:t>
      </w:r>
      <w:r w:rsidR="002E56A4">
        <w:t xml:space="preserve"> entitlement charges</w:t>
      </w:r>
      <w:r w:rsidR="009A3323">
        <w:t xml:space="preserve">. </w:t>
      </w:r>
    </w:p>
    <w:p w:rsidR="00897AA5" w:rsidRDefault="00897AA5" w:rsidP="00736EBA">
      <w:pPr>
        <w:pStyle w:val="Numbered111"/>
      </w:pPr>
      <w:bookmarkStart w:id="80" w:name="_Toc418071324"/>
      <w:bookmarkStart w:id="81" w:name="_Toc418495337"/>
      <w:bookmarkStart w:id="82" w:name="_Toc447900588"/>
      <w:bookmarkStart w:id="83" w:name="_Toc449692784"/>
      <w:bookmarkStart w:id="84" w:name="_Toc449692980"/>
      <w:bookmarkStart w:id="85" w:name="_Toc485303340"/>
      <w:r>
        <w:t>Department of Environment, Water and Natural Resources, S</w:t>
      </w:r>
      <w:r w:rsidR="004178A1">
        <w:t xml:space="preserve">outh </w:t>
      </w:r>
      <w:r>
        <w:t>A</w:t>
      </w:r>
      <w:bookmarkEnd w:id="80"/>
      <w:bookmarkEnd w:id="81"/>
      <w:bookmarkEnd w:id="82"/>
      <w:bookmarkEnd w:id="83"/>
      <w:bookmarkEnd w:id="84"/>
      <w:r w:rsidR="004178A1">
        <w:t>ustralia</w:t>
      </w:r>
      <w:bookmarkEnd w:id="85"/>
    </w:p>
    <w:p w:rsidR="00897AA5" w:rsidRDefault="00897AA5" w:rsidP="00897AA5">
      <w:r w:rsidRPr="00C41879">
        <w:t>Regula</w:t>
      </w:r>
      <w:r>
        <w:t xml:space="preserve">ted WPM charges are determined by the SA government and covered under the </w:t>
      </w:r>
      <w:r w:rsidRPr="00D34D5C">
        <w:rPr>
          <w:rStyle w:val="Emphasis"/>
        </w:rPr>
        <w:t>Natural Resource Management Act 2004</w:t>
      </w:r>
      <w:r>
        <w:t xml:space="preserve"> (SA), and Natural Resources Management (General) Regulations 2005</w:t>
      </w:r>
      <w:r w:rsidR="00C4714D">
        <w:t xml:space="preserve"> (SA)</w:t>
      </w:r>
      <w:r>
        <w:t xml:space="preserve">. </w:t>
      </w:r>
    </w:p>
    <w:p w:rsidR="00897AA5" w:rsidRDefault="00897AA5" w:rsidP="00897AA5">
      <w:r>
        <w:t>DEWNR</w:t>
      </w:r>
      <w:r w:rsidR="009811AD">
        <w:t>’s</w:t>
      </w:r>
      <w:r>
        <w:t xml:space="preserve"> total WPM revenue is based on revenue collected from:</w:t>
      </w:r>
    </w:p>
    <w:p w:rsidR="00897AA5" w:rsidRPr="00F6221D" w:rsidRDefault="00EA109C" w:rsidP="00DA47C0">
      <w:pPr>
        <w:pStyle w:val="Bulletpoint"/>
      </w:pPr>
      <w:r w:rsidRPr="00F6221D">
        <w:t xml:space="preserve">the </w:t>
      </w:r>
      <w:r w:rsidR="00897AA5" w:rsidRPr="00F6221D">
        <w:t>Division 2 Natural Resource Management Lev</w:t>
      </w:r>
      <w:r w:rsidRPr="00F6221D">
        <w:t>y</w:t>
      </w:r>
      <w:r w:rsidR="00897AA5" w:rsidRPr="00F6221D">
        <w:t xml:space="preserve"> </w:t>
      </w:r>
    </w:p>
    <w:p w:rsidR="002E56A4" w:rsidRPr="00F6221D" w:rsidRDefault="002E56A4" w:rsidP="00DA47C0">
      <w:pPr>
        <w:pStyle w:val="Bulletpoint"/>
      </w:pPr>
      <w:r w:rsidRPr="00F6221D">
        <w:t>water license, permit and approval fees</w:t>
      </w:r>
      <w:r w:rsidR="009811AD" w:rsidRPr="00F6221D">
        <w:t>, and</w:t>
      </w:r>
    </w:p>
    <w:p w:rsidR="00897AA5" w:rsidRPr="00F6221D" w:rsidRDefault="00CB0686" w:rsidP="00DA47C0">
      <w:pPr>
        <w:pStyle w:val="Bulletpoint"/>
      </w:pPr>
      <w:r w:rsidRPr="00F6221D">
        <w:t>metering charges</w:t>
      </w:r>
      <w:r w:rsidR="00897AA5" w:rsidRPr="00F6221D">
        <w:t xml:space="preserve">. </w:t>
      </w:r>
    </w:p>
    <w:p w:rsidR="00897AA5" w:rsidRDefault="00897AA5" w:rsidP="00897AA5">
      <w:r w:rsidRPr="00CE49B2">
        <w:t>The</w:t>
      </w:r>
      <w:r w:rsidR="006B2D99">
        <w:t>se</w:t>
      </w:r>
      <w:r w:rsidRPr="00CE49B2">
        <w:t xml:space="preserve"> WPM revenue </w:t>
      </w:r>
      <w:r w:rsidR="006B2D99">
        <w:t xml:space="preserve">estimates </w:t>
      </w:r>
      <w:r w:rsidRPr="00CE49B2">
        <w:t xml:space="preserve">relate to WPM charges levied </w:t>
      </w:r>
      <w:r w:rsidR="00C4714D">
        <w:t>within</w:t>
      </w:r>
      <w:r w:rsidRPr="00CE49B2">
        <w:t xml:space="preserve"> </w:t>
      </w:r>
      <w:r w:rsidR="002132A0">
        <w:t>the M</w:t>
      </w:r>
      <w:r w:rsidR="001C6B29">
        <w:t>DB</w:t>
      </w:r>
      <w:r w:rsidRPr="00CE49B2">
        <w:t>.</w:t>
      </w:r>
      <w:r w:rsidR="002F205D" w:rsidRPr="00735311">
        <w:rPr>
          <w:rStyle w:val="FootnoteReference"/>
        </w:rPr>
        <w:footnoteReference w:id="32"/>
      </w:r>
      <w:r w:rsidR="00002ED6" w:rsidRPr="00CE49B2">
        <w:t xml:space="preserve"> </w:t>
      </w:r>
    </w:p>
    <w:p w:rsidR="00216C61" w:rsidRDefault="00AC0FCF" w:rsidP="00897AA5">
      <w:bookmarkStart w:id="86" w:name="_Toc418071325"/>
      <w:r>
        <w:t xml:space="preserve">WPM expenditure included in the report covers only that expenditure funded by WPM charges and South Australian State Government </w:t>
      </w:r>
      <w:r w:rsidR="00EA109C">
        <w:t xml:space="preserve">financial </w:t>
      </w:r>
      <w:r>
        <w:t xml:space="preserve">contributions. </w:t>
      </w:r>
    </w:p>
    <w:p w:rsidR="00216C61" w:rsidRDefault="00216C61">
      <w:r>
        <w:br w:type="page"/>
      </w:r>
    </w:p>
    <w:p w:rsidR="00897AA5" w:rsidRPr="00736EBA" w:rsidRDefault="00216C61" w:rsidP="00736EBA">
      <w:pPr>
        <w:pStyle w:val="Numbered1"/>
      </w:pPr>
      <w:bookmarkStart w:id="87" w:name="_Toc449692987"/>
      <w:bookmarkStart w:id="88" w:name="_Toc485303341"/>
      <w:bookmarkStart w:id="89" w:name="_Toc418071331"/>
      <w:bookmarkEnd w:id="86"/>
      <w:r>
        <w:lastRenderedPageBreak/>
        <w:t>I</w:t>
      </w:r>
      <w:r w:rsidR="00897AA5" w:rsidRPr="00736EBA">
        <w:t>nfrastructure Operators</w:t>
      </w:r>
      <w:bookmarkEnd w:id="87"/>
      <w:bookmarkEnd w:id="88"/>
      <w:r w:rsidR="00897AA5" w:rsidRPr="00736EBA">
        <w:t xml:space="preserve"> </w:t>
      </w:r>
      <w:bookmarkEnd w:id="89"/>
    </w:p>
    <w:p w:rsidR="00897AA5" w:rsidRPr="00FD7197" w:rsidRDefault="00897AA5" w:rsidP="00897AA5">
      <w:pPr>
        <w:rPr>
          <w:rStyle w:val="Strong"/>
        </w:rPr>
      </w:pPr>
      <w:r w:rsidRPr="00FD7197">
        <w:rPr>
          <w:rStyle w:val="Strong"/>
        </w:rPr>
        <w:t xml:space="preserve">This section </w:t>
      </w:r>
      <w:r w:rsidR="00742ECB">
        <w:rPr>
          <w:rStyle w:val="Strong"/>
        </w:rPr>
        <w:t>relates</w:t>
      </w:r>
      <w:r w:rsidR="00742ECB" w:rsidRPr="00FD7197">
        <w:rPr>
          <w:rStyle w:val="Strong"/>
        </w:rPr>
        <w:t xml:space="preserve"> </w:t>
      </w:r>
      <w:r w:rsidRPr="00FD7197">
        <w:rPr>
          <w:rStyle w:val="Strong"/>
        </w:rPr>
        <w:t>to the analysis presented in chapter 4 (on-river infrastructure operators) and chapter 5 (off-river infrastructure operators) in the Water Monitoring Report</w:t>
      </w:r>
      <w:r w:rsidR="00742ECB">
        <w:rPr>
          <w:rStyle w:val="Strong"/>
        </w:rPr>
        <w:t xml:space="preserve"> 2015−16</w:t>
      </w:r>
      <w:r w:rsidRPr="00FD7197">
        <w:rPr>
          <w:rStyle w:val="Strong"/>
        </w:rPr>
        <w:t>.</w:t>
      </w:r>
    </w:p>
    <w:p w:rsidR="00897AA5" w:rsidRPr="00FD7197" w:rsidRDefault="00897AA5" w:rsidP="00897AA5">
      <w:pPr>
        <w:rPr>
          <w:rStyle w:val="Strong"/>
        </w:rPr>
      </w:pPr>
      <w:r w:rsidRPr="00FD7197">
        <w:rPr>
          <w:rStyle w:val="Strong"/>
        </w:rPr>
        <w:t>As discussed in chapter 2</w:t>
      </w:r>
      <w:r w:rsidR="009F05E8">
        <w:rPr>
          <w:rStyle w:val="Strong"/>
        </w:rPr>
        <w:t xml:space="preserve"> of the report</w:t>
      </w:r>
      <w:r w:rsidRPr="00FD7197">
        <w:rPr>
          <w:rStyle w:val="Strong"/>
        </w:rPr>
        <w:t>, infrastructure operators typically provide on-river infrastructure services, off</w:t>
      </w:r>
      <w:r w:rsidR="00BD687E">
        <w:rPr>
          <w:rStyle w:val="Strong"/>
        </w:rPr>
        <w:noBreakHyphen/>
      </w:r>
      <w:r w:rsidRPr="00FD7197">
        <w:rPr>
          <w:rStyle w:val="Strong"/>
        </w:rPr>
        <w:t xml:space="preserve">river infrastructure services or both. </w:t>
      </w:r>
    </w:p>
    <w:p w:rsidR="00897AA5" w:rsidRPr="00FD7197" w:rsidRDefault="00BD687E" w:rsidP="00897AA5">
      <w:pPr>
        <w:rPr>
          <w:rStyle w:val="Strong"/>
        </w:rPr>
      </w:pPr>
      <w:r>
        <w:rPr>
          <w:rStyle w:val="Strong"/>
        </w:rPr>
        <w:t>O</w:t>
      </w:r>
      <w:r w:rsidR="00897AA5" w:rsidRPr="00FD7197">
        <w:rPr>
          <w:rStyle w:val="Strong"/>
        </w:rPr>
        <w:t xml:space="preserve">n-river infrastructure services include harvesting and storing water through infrastructure, such as dams, lakes, weirs and reservoirs, and delivering water, primarily through natural watercourses, to an extraction point on a natural watercourse. An on-river </w:t>
      </w:r>
      <w:r>
        <w:rPr>
          <w:rStyle w:val="Strong"/>
        </w:rPr>
        <w:t xml:space="preserve">infrastructure operator (‘on-river </w:t>
      </w:r>
      <w:r w:rsidR="00897AA5" w:rsidRPr="00FD7197">
        <w:rPr>
          <w:rStyle w:val="Strong"/>
        </w:rPr>
        <w:t>IO</w:t>
      </w:r>
      <w:r>
        <w:rPr>
          <w:rStyle w:val="Strong"/>
        </w:rPr>
        <w:t>’)</w:t>
      </w:r>
      <w:r w:rsidR="00897AA5" w:rsidRPr="00FD7197">
        <w:rPr>
          <w:rStyle w:val="Strong"/>
        </w:rPr>
        <w:t xml:space="preserve"> imposes on-river infrastructure charges to recover costs associated with the</w:t>
      </w:r>
      <w:r>
        <w:rPr>
          <w:rStyle w:val="Strong"/>
        </w:rPr>
        <w:t xml:space="preserve">se </w:t>
      </w:r>
      <w:r w:rsidR="00897AA5" w:rsidRPr="00FD7197">
        <w:rPr>
          <w:rStyle w:val="Strong"/>
        </w:rPr>
        <w:t>service</w:t>
      </w:r>
      <w:r>
        <w:rPr>
          <w:rStyle w:val="Strong"/>
        </w:rPr>
        <w:t>s</w:t>
      </w:r>
      <w:r w:rsidR="00897AA5" w:rsidRPr="00FD7197">
        <w:rPr>
          <w:rStyle w:val="Strong"/>
        </w:rPr>
        <w:t xml:space="preserve">. </w:t>
      </w:r>
    </w:p>
    <w:p w:rsidR="00897AA5" w:rsidRPr="00FD7197" w:rsidRDefault="00BD687E" w:rsidP="00897AA5">
      <w:pPr>
        <w:rPr>
          <w:rStyle w:val="Strong"/>
        </w:rPr>
      </w:pPr>
      <w:r>
        <w:rPr>
          <w:rStyle w:val="Strong"/>
        </w:rPr>
        <w:t>O</w:t>
      </w:r>
      <w:r w:rsidR="00897AA5" w:rsidRPr="00FD7197">
        <w:rPr>
          <w:rStyle w:val="Strong"/>
        </w:rPr>
        <w:t xml:space="preserve">ff-river infrastructure services include the delivery of water from the natural watercourse through a network consisting of channels and/or pipes to a customer’s extraction points. </w:t>
      </w:r>
      <w:r w:rsidR="00017CEF">
        <w:rPr>
          <w:rStyle w:val="Strong"/>
        </w:rPr>
        <w:t>An off-river infrastructure operator (‘off-river IO’) imposes o</w:t>
      </w:r>
      <w:r w:rsidR="00017CEF" w:rsidRPr="00FD7197">
        <w:rPr>
          <w:rStyle w:val="Strong"/>
        </w:rPr>
        <w:t xml:space="preserve">ff-river infrastructure charges recover the costs associated with providing customers with </w:t>
      </w:r>
      <w:r w:rsidR="00017CEF">
        <w:rPr>
          <w:rStyle w:val="Strong"/>
        </w:rPr>
        <w:t>these</w:t>
      </w:r>
      <w:r w:rsidR="00017CEF" w:rsidRPr="00FD7197">
        <w:rPr>
          <w:rStyle w:val="Strong"/>
        </w:rPr>
        <w:t xml:space="preserve"> service</w:t>
      </w:r>
      <w:r w:rsidR="00017CEF">
        <w:rPr>
          <w:rStyle w:val="Strong"/>
        </w:rPr>
        <w:t>s</w:t>
      </w:r>
      <w:r w:rsidR="00017CEF" w:rsidRPr="00FD7197">
        <w:rPr>
          <w:rStyle w:val="Strong"/>
        </w:rPr>
        <w:t xml:space="preserve">.  </w:t>
      </w:r>
      <w:r w:rsidR="00897AA5" w:rsidRPr="00FD7197">
        <w:rPr>
          <w:rStyle w:val="Strong"/>
        </w:rPr>
        <w:t xml:space="preserve">Irrigation infrastructure operators (IIOs) are a subset of off-river IOs who own or operate infrastructure for the primary purpose of irrigation. </w:t>
      </w:r>
    </w:p>
    <w:p w:rsidR="00897AA5" w:rsidRPr="00736EBA" w:rsidRDefault="00897AA5" w:rsidP="00736EBA">
      <w:pPr>
        <w:pStyle w:val="Numbered11"/>
      </w:pPr>
      <w:bookmarkStart w:id="90" w:name="_Toc447900596"/>
      <w:bookmarkStart w:id="91" w:name="_Toc449692988"/>
      <w:bookmarkStart w:id="92" w:name="_Toc485303342"/>
      <w:bookmarkEnd w:id="90"/>
      <w:r w:rsidRPr="00736EBA">
        <w:t>ACCC approach to monitoring</w:t>
      </w:r>
      <w:bookmarkEnd w:id="91"/>
      <w:bookmarkEnd w:id="92"/>
    </w:p>
    <w:p w:rsidR="00897AA5" w:rsidRDefault="00897AA5" w:rsidP="00897AA5">
      <w:r>
        <w:t>The ACCC produces a number of hypothetical bills</w:t>
      </w:r>
      <w:r>
        <w:rPr>
          <w:rStyle w:val="FootnoteReference"/>
        </w:rPr>
        <w:footnoteReference w:id="33"/>
      </w:r>
      <w:r>
        <w:t xml:space="preserve"> for infrastructure operators to assist in making a meaningful comparison of regulated water charges across different infrastructure operators that have different char</w:t>
      </w:r>
      <w:r w:rsidR="004C5AA3">
        <w:t>g</w:t>
      </w:r>
      <w:r>
        <w:t xml:space="preserve">ing arrangements and tariff structures. The hypothetical bills and corresponding analysis provides a simple representation of how regulated charges translate into a typical customer bill. </w:t>
      </w:r>
    </w:p>
    <w:p w:rsidR="00897AA5" w:rsidRDefault="00897AA5" w:rsidP="00897AA5">
      <w:r>
        <w:t xml:space="preserve">The ACCC produces hypothetical bills for: </w:t>
      </w:r>
    </w:p>
    <w:p w:rsidR="00897AA5" w:rsidRPr="00F6221D" w:rsidRDefault="00742ECB" w:rsidP="00DA47C0">
      <w:pPr>
        <w:pStyle w:val="Bulletpoint"/>
      </w:pPr>
      <w:r w:rsidRPr="00F6221D">
        <w:t>a</w:t>
      </w:r>
      <w:r w:rsidR="00897AA5" w:rsidRPr="00F6221D">
        <w:t xml:space="preserve"> typical customer located on-river (which may be either a private diverter or an off-river IO)</w:t>
      </w:r>
    </w:p>
    <w:p w:rsidR="00897AA5" w:rsidRPr="00F6221D" w:rsidRDefault="00897AA5" w:rsidP="00DA47C0">
      <w:pPr>
        <w:pStyle w:val="Bulletpoint"/>
      </w:pPr>
      <w:r w:rsidRPr="00F6221D">
        <w:t>a typical customer located off-river</w:t>
      </w:r>
      <w:r w:rsidR="001D7703" w:rsidRPr="00F6221D">
        <w:t>,</w:t>
      </w:r>
      <w:r w:rsidRPr="00F6221D">
        <w:t xml:space="preserve"> ha</w:t>
      </w:r>
      <w:r w:rsidR="00B84C2E" w:rsidRPr="00F6221D">
        <w:t>ving</w:t>
      </w:r>
      <w:r w:rsidRPr="00F6221D">
        <w:t xml:space="preserve"> water delivered through a network from the natural watercourse extraction point</w:t>
      </w:r>
      <w:r w:rsidR="00017CEF" w:rsidRPr="00F6221D">
        <w:t>(</w:t>
      </w:r>
      <w:r w:rsidRPr="00F6221D">
        <w:t>s</w:t>
      </w:r>
      <w:r w:rsidR="00017CEF" w:rsidRPr="00F6221D">
        <w:t>)</w:t>
      </w:r>
      <w:r w:rsidR="00B84C2E" w:rsidRPr="00F6221D">
        <w:t>,</w:t>
      </w:r>
      <w:r w:rsidRPr="00F6221D">
        <w:t xml:space="preserve"> and </w:t>
      </w:r>
    </w:p>
    <w:p w:rsidR="00897AA5" w:rsidRPr="004609AF" w:rsidRDefault="00897AA5" w:rsidP="00DA47C0">
      <w:pPr>
        <w:pStyle w:val="Bulletpoint"/>
      </w:pPr>
      <w:r w:rsidRPr="00F6221D">
        <w:t>the maximum termination fee an IIO can levy on a customer terminating their right of access.</w:t>
      </w:r>
      <w:r w:rsidRPr="004609AF">
        <w:rPr>
          <w:rStyle w:val="FootnoteReference"/>
        </w:rPr>
        <w:footnoteReference w:id="34"/>
      </w:r>
      <w:r w:rsidRPr="004609AF">
        <w:t xml:space="preserve">  </w:t>
      </w:r>
    </w:p>
    <w:p w:rsidR="00897AA5" w:rsidRDefault="00897AA5" w:rsidP="00897AA5">
      <w:r>
        <w:t xml:space="preserve">This section sets out the assumptions used in the production of hypothetical bills and hypothetical termination fees. </w:t>
      </w:r>
    </w:p>
    <w:p w:rsidR="00942804" w:rsidRDefault="001F18B1" w:rsidP="001F18B1">
      <w:r w:rsidRPr="00B4787E">
        <w:t xml:space="preserve">The ACCC’s </w:t>
      </w:r>
      <w:r w:rsidR="001C3657">
        <w:t>2015−16</w:t>
      </w:r>
      <w:r w:rsidRPr="00B4787E">
        <w:t xml:space="preserve"> analysis </w:t>
      </w:r>
      <w:r>
        <w:t xml:space="preserve">of hypothetical bills </w:t>
      </w:r>
      <w:r w:rsidRPr="00B4787E">
        <w:t xml:space="preserve">also </w:t>
      </w:r>
      <w:r>
        <w:t xml:space="preserve">reports on the component of operator bills attributable to </w:t>
      </w:r>
      <w:r w:rsidRPr="00B4787E">
        <w:t>WPM charges</w:t>
      </w:r>
      <w:r>
        <w:t>. These WPM charges are</w:t>
      </w:r>
      <w:r w:rsidR="00942804">
        <w:t xml:space="preserve"> either levied directly by the on-river IO</w:t>
      </w:r>
      <w:r w:rsidR="009147F4">
        <w:t xml:space="preserve"> on their customers (including private diverters and off-river IOs)</w:t>
      </w:r>
      <w:r w:rsidR="00942804">
        <w:t>, or collected by the on-river IO on behalf of a Basin State department. Off-river IOs may pass-through these WPM charges to their customers.</w:t>
      </w:r>
    </w:p>
    <w:p w:rsidR="001F18B1" w:rsidRDefault="001F18B1" w:rsidP="001F18B1">
      <w:r>
        <w:t xml:space="preserve">However, only WPM water access right charges are included in the hypothetical bill. </w:t>
      </w:r>
      <w:r w:rsidRPr="00602DBF">
        <w:t xml:space="preserve">Broad based levies are not included specifically in the hypothetical bill analysis as these are </w:t>
      </w:r>
      <w:r w:rsidRPr="00602DBF">
        <w:lastRenderedPageBreak/>
        <w:t xml:space="preserve">generally not identified </w:t>
      </w:r>
      <w:r w:rsidRPr="006827F5">
        <w:t xml:space="preserve">as a </w:t>
      </w:r>
      <w:r w:rsidRPr="00602DBF">
        <w:t>separate</w:t>
      </w:r>
      <w:r w:rsidRPr="006827F5">
        <w:t xml:space="preserve"> charge</w:t>
      </w:r>
      <w:r w:rsidRPr="00602DBF">
        <w:t xml:space="preserve"> on the IO</w:t>
      </w:r>
      <w:r w:rsidR="00017CEF">
        <w:t>’</w:t>
      </w:r>
      <w:r w:rsidRPr="00602DBF">
        <w:t>s schedule</w:t>
      </w:r>
      <w:r w:rsidR="00942804">
        <w:t xml:space="preserve">. </w:t>
      </w:r>
      <w:r w:rsidR="004A0D09">
        <w:t xml:space="preserve">Although a broad based levy </w:t>
      </w:r>
      <w:r w:rsidR="00942804">
        <w:t>may be imposed on the IO and incorporated in its cost base and passed through to customers in its charges, it is difficult to separate the component of on-river charges attributable to the levy.</w:t>
      </w:r>
      <w:r w:rsidR="004A0D09">
        <w:t xml:space="preserve"> </w:t>
      </w:r>
      <w:r>
        <w:t xml:space="preserve">Transaction charges are excluded </w:t>
      </w:r>
      <w:r w:rsidR="004A0D09">
        <w:t xml:space="preserve">from hypothetical bill analysis </w:t>
      </w:r>
      <w:r>
        <w:t xml:space="preserve">because they relate to a particular activity customers may or may not undertake. </w:t>
      </w:r>
    </w:p>
    <w:p w:rsidR="00897AA5" w:rsidRDefault="00742ECB" w:rsidP="00897AA5">
      <w:r>
        <w:t>As well as</w:t>
      </w:r>
      <w:r w:rsidR="00897AA5">
        <w:t xml:space="preserve"> providing information on the ACCC’s approach to monitoring and assumptions</w:t>
      </w:r>
      <w:r w:rsidR="00B84C2E">
        <w:t xml:space="preserve"> specific to each infrastructure operator</w:t>
      </w:r>
      <w:r w:rsidR="00897AA5">
        <w:t xml:space="preserve">, </w:t>
      </w:r>
      <w:r w:rsidR="001D7703">
        <w:t>this chapter</w:t>
      </w:r>
      <w:r w:rsidR="00897AA5">
        <w:t xml:space="preserve"> also provides copies of infrastructure operators’ </w:t>
      </w:r>
      <w:r w:rsidR="001C3657">
        <w:t>2015−16</w:t>
      </w:r>
      <w:r w:rsidR="00AC0181">
        <w:t xml:space="preserve"> </w:t>
      </w:r>
      <w:r w:rsidR="00897AA5">
        <w:t xml:space="preserve">schedule of charges. </w:t>
      </w:r>
      <w:r w:rsidR="00897AA5" w:rsidRPr="00B23678">
        <w:t>Operator schedules of charges were sourced from operators</w:t>
      </w:r>
      <w:r w:rsidR="001D7703">
        <w:t>’</w:t>
      </w:r>
      <w:r w:rsidR="00897AA5" w:rsidRPr="00B23678">
        <w:t xml:space="preserve"> websites or provided to the ACCC as part of the </w:t>
      </w:r>
      <w:r w:rsidR="00017CEF">
        <w:t>RFI</w:t>
      </w:r>
      <w:r w:rsidR="00897AA5" w:rsidRPr="00B23678">
        <w:t xml:space="preserve"> process.</w:t>
      </w:r>
      <w:r w:rsidR="00897AA5">
        <w:t xml:space="preserve"> </w:t>
      </w:r>
    </w:p>
    <w:p w:rsidR="00897AA5" w:rsidRPr="00DE61DB" w:rsidRDefault="00F36AB1" w:rsidP="00736EBA">
      <w:pPr>
        <w:pStyle w:val="Numbered11"/>
      </w:pPr>
      <w:bookmarkStart w:id="93" w:name="_Toc447900598"/>
      <w:bookmarkStart w:id="94" w:name="_Toc447900599"/>
      <w:bookmarkStart w:id="95" w:name="_Toc449692989"/>
      <w:bookmarkStart w:id="96" w:name="_Toc485303343"/>
      <w:bookmarkEnd w:id="93"/>
      <w:r>
        <w:t>Hypothetical b</w:t>
      </w:r>
      <w:r w:rsidR="00F41934">
        <w:t>ills</w:t>
      </w:r>
      <w:r w:rsidR="00E551D7">
        <w:t>—</w:t>
      </w:r>
      <w:r>
        <w:t>o</w:t>
      </w:r>
      <w:r w:rsidR="00897AA5">
        <w:t>n-river infrastructure operators</w:t>
      </w:r>
      <w:bookmarkEnd w:id="94"/>
      <w:bookmarkEnd w:id="95"/>
      <w:bookmarkEnd w:id="96"/>
    </w:p>
    <w:p w:rsidR="00897AA5" w:rsidRPr="00B4787E" w:rsidRDefault="00897AA5" w:rsidP="00897AA5">
      <w:r w:rsidRPr="00B4787E">
        <w:t xml:space="preserve">Hypothetical bills were constructed for 36 charge categories within a number of </w:t>
      </w:r>
      <w:r w:rsidR="00246AB1">
        <w:t>geographical areas</w:t>
      </w:r>
      <w:r w:rsidR="00246AB1" w:rsidRPr="00B4787E">
        <w:t xml:space="preserve"> </w:t>
      </w:r>
      <w:r w:rsidRPr="00B4787E">
        <w:t xml:space="preserve">across six </w:t>
      </w:r>
      <w:r>
        <w:t>on-river IOs</w:t>
      </w:r>
      <w:r w:rsidRPr="00B4787E">
        <w:t xml:space="preserve">. The analysis consists of two scenarios for each </w:t>
      </w:r>
      <w:r>
        <w:t>on-river IO</w:t>
      </w:r>
      <w:r w:rsidRPr="00B4787E">
        <w:t xml:space="preserve"> and their respective charge categories</w:t>
      </w:r>
      <w:r w:rsidR="00017CEF">
        <w:t>—</w:t>
      </w:r>
      <w:r w:rsidRPr="00B4787E">
        <w:t xml:space="preserve">1000 ML of water access entitlement and either 50 per cent or 100 per cent of that volume being delivered. </w:t>
      </w:r>
    </w:p>
    <w:p w:rsidR="00897AA5" w:rsidRPr="00B4787E" w:rsidRDefault="00897AA5" w:rsidP="00897AA5">
      <w:r w:rsidRPr="00B4787E">
        <w:t>The</w:t>
      </w:r>
      <w:r w:rsidR="00742ECB">
        <w:t xml:space="preserve"> charges assumed to be payable by a</w:t>
      </w:r>
      <w:r w:rsidRPr="00B4787E">
        <w:t xml:space="preserve"> </w:t>
      </w:r>
      <w:r w:rsidR="00246AB1">
        <w:t>‘</w:t>
      </w:r>
      <w:r w:rsidRPr="00B4787E">
        <w:t>ty</w:t>
      </w:r>
      <w:r>
        <w:t>p</w:t>
      </w:r>
      <w:r w:rsidRPr="00B4787E">
        <w:t>ical</w:t>
      </w:r>
      <w:r w:rsidR="00246AB1">
        <w:t>’</w:t>
      </w:r>
      <w:r w:rsidRPr="00B4787E">
        <w:t xml:space="preserve"> customer </w:t>
      </w:r>
      <w:r w:rsidR="00246AB1">
        <w:t xml:space="preserve">for which each hypothetical bill is calculated </w:t>
      </w:r>
      <w:r w:rsidR="00B60EF8">
        <w:t>are</w:t>
      </w:r>
      <w:r w:rsidRPr="00B4787E">
        <w:t xml:space="preserve"> </w:t>
      </w:r>
      <w:r w:rsidR="00246AB1">
        <w:t xml:space="preserve">determined after </w:t>
      </w:r>
      <w:r w:rsidRPr="00B4787E">
        <w:t>assess</w:t>
      </w:r>
      <w:r w:rsidR="00246AB1">
        <w:t>ing</w:t>
      </w:r>
      <w:r w:rsidRPr="00B4787E">
        <w:t xml:space="preserve"> each </w:t>
      </w:r>
      <w:r>
        <w:t>on-river IO’s</w:t>
      </w:r>
      <w:r w:rsidRPr="00B4787E">
        <w:t xml:space="preserve"> response to the ACCC’s annual requests for information (RFI) and </w:t>
      </w:r>
      <w:r>
        <w:t>through</w:t>
      </w:r>
      <w:r w:rsidRPr="00B4787E">
        <w:t xml:space="preserve"> discussions with each </w:t>
      </w:r>
      <w:r>
        <w:t>on-river IO</w:t>
      </w:r>
      <w:r w:rsidRPr="00B4787E">
        <w:t>.</w:t>
      </w:r>
    </w:p>
    <w:p w:rsidR="00897AA5" w:rsidRDefault="00897AA5" w:rsidP="00897AA5">
      <w:r w:rsidRPr="00B4787E">
        <w:t xml:space="preserve">The </w:t>
      </w:r>
      <w:r w:rsidR="00C3174E">
        <w:t>selection</w:t>
      </w:r>
      <w:r w:rsidRPr="00B4787E">
        <w:t xml:space="preserve"> of charges </w:t>
      </w:r>
      <w:r w:rsidR="00CC4684">
        <w:t xml:space="preserve">for hypothetical bills in this way </w:t>
      </w:r>
      <w:r w:rsidRPr="00B4787E">
        <w:t xml:space="preserve">is aimed at producing hypothetical bills that </w:t>
      </w:r>
      <w:r>
        <w:t>reflect</w:t>
      </w:r>
      <w:r w:rsidRPr="00B4787E">
        <w:t xml:space="preserve"> all the </w:t>
      </w:r>
      <w:r>
        <w:t xml:space="preserve">regulated water </w:t>
      </w:r>
      <w:r w:rsidRPr="00B4787E">
        <w:t xml:space="preserve">charges imposed on a typical </w:t>
      </w:r>
      <w:r>
        <w:t>on-river IO</w:t>
      </w:r>
      <w:r w:rsidRPr="00B4787E">
        <w:t xml:space="preserve"> customer</w:t>
      </w:r>
      <w:r>
        <w:t xml:space="preserve"> who receives on-river infrastructure services for the storage and delivery of water</w:t>
      </w:r>
      <w:r w:rsidRPr="00B4787E">
        <w:t>.</w:t>
      </w:r>
      <w:r>
        <w:t xml:space="preserve"> </w:t>
      </w:r>
    </w:p>
    <w:p w:rsidR="00897AA5" w:rsidRDefault="00897AA5" w:rsidP="00897AA5">
      <w:r w:rsidRPr="00B4787E">
        <w:t xml:space="preserve">Actual individual </w:t>
      </w:r>
      <w:r>
        <w:t>on-river</w:t>
      </w:r>
      <w:r w:rsidRPr="00B4787E">
        <w:t xml:space="preserve"> customer bills will depend on the nature of their water holdings and will not correspond directly with the ACCC’s hypothetical bills. Further, the ACCC’s analysis does not account for behaviour that may alter the amount of </w:t>
      </w:r>
      <w:r w:rsidR="00742ECB">
        <w:t>an irrigator’s actual</w:t>
      </w:r>
      <w:r w:rsidR="00742ECB" w:rsidRPr="00B4787E">
        <w:t xml:space="preserve"> </w:t>
      </w:r>
      <w:r w:rsidRPr="00B4787E">
        <w:t>bill</w:t>
      </w:r>
      <w:r>
        <w:t xml:space="preserve"> such as trade and carry-over. </w:t>
      </w:r>
    </w:p>
    <w:p w:rsidR="004D7409" w:rsidRDefault="004D7409" w:rsidP="00736EBA">
      <w:pPr>
        <w:pStyle w:val="Numbered111"/>
      </w:pPr>
      <w:bookmarkStart w:id="97" w:name="_Toc485303344"/>
      <w:r>
        <w:t>Goulburn-Murray Water</w:t>
      </w:r>
      <w:r w:rsidR="004178A1">
        <w:t xml:space="preserve">, </w:t>
      </w:r>
      <w:r>
        <w:t>Victoria</w:t>
      </w:r>
      <w:bookmarkEnd w:id="97"/>
    </w:p>
    <w:p w:rsidR="004D7409" w:rsidRDefault="004D7409" w:rsidP="004D7409">
      <w:r>
        <w:t xml:space="preserve">The analysis assumes </w:t>
      </w:r>
      <w:r w:rsidR="00CA5449">
        <w:t>one</w:t>
      </w:r>
      <w:r>
        <w:t xml:space="preserve"> hypothetical customer in </w:t>
      </w:r>
      <w:r w:rsidR="00CA5449">
        <w:t xml:space="preserve">each </w:t>
      </w:r>
      <w:r w:rsidR="0069503E">
        <w:t xml:space="preserve">charge category </w:t>
      </w:r>
      <w:r w:rsidR="00CA5449">
        <w:t xml:space="preserve">within </w:t>
      </w:r>
      <w:r>
        <w:t>two systems</w:t>
      </w:r>
      <w:r w:rsidR="00CA5449">
        <w:t xml:space="preserve"> (nine hypothetical customers)</w:t>
      </w:r>
      <w:r>
        <w:t>.</w:t>
      </w:r>
    </w:p>
    <w:p w:rsidR="004D7409" w:rsidRDefault="004D7409" w:rsidP="004D7409">
      <w:r>
        <w:t xml:space="preserve">In the Goulburn system, it is assumed there </w:t>
      </w:r>
      <w:r w:rsidR="00E823F6">
        <w:t xml:space="preserve">is </w:t>
      </w:r>
      <w:r w:rsidR="0007517A">
        <w:t>one</w:t>
      </w:r>
      <w:r w:rsidR="00E823F6">
        <w:t xml:space="preserve"> hypothetical customer for each of</w:t>
      </w:r>
      <w:r>
        <w:t>:</w:t>
      </w:r>
    </w:p>
    <w:p w:rsidR="004D7409" w:rsidRDefault="004D7409" w:rsidP="00DA47C0">
      <w:pPr>
        <w:pStyle w:val="Bulletpoint"/>
      </w:pPr>
      <w:r>
        <w:t>Bulk</w:t>
      </w:r>
      <w:r>
        <w:rPr>
          <w:rStyle w:val="FootnoteReference"/>
        </w:rPr>
        <w:footnoteReference w:id="35"/>
      </w:r>
      <w:r>
        <w:t>– Loddon</w:t>
      </w:r>
    </w:p>
    <w:p w:rsidR="004D7409" w:rsidRPr="00F6221D" w:rsidRDefault="004D7409" w:rsidP="00DA47C0">
      <w:pPr>
        <w:pStyle w:val="Bulletpoint"/>
      </w:pPr>
      <w:r w:rsidRPr="00F6221D">
        <w:t>Bulk – Bullarook</w:t>
      </w:r>
    </w:p>
    <w:p w:rsidR="004D7409" w:rsidRPr="00F6221D" w:rsidRDefault="004D7409" w:rsidP="00DA47C0">
      <w:pPr>
        <w:pStyle w:val="Bulletpoint"/>
      </w:pPr>
      <w:r w:rsidRPr="00F6221D">
        <w:t>Bulk – Campaspe</w:t>
      </w:r>
    </w:p>
    <w:p w:rsidR="004D7409" w:rsidRPr="00F6221D" w:rsidRDefault="004D7409" w:rsidP="00DA47C0">
      <w:pPr>
        <w:pStyle w:val="Bulletpoint"/>
      </w:pPr>
      <w:r w:rsidRPr="00F6221D">
        <w:t>Bulk – Goulburn</w:t>
      </w:r>
    </w:p>
    <w:p w:rsidR="004D7409" w:rsidRPr="00F6221D" w:rsidRDefault="004D7409" w:rsidP="00DA47C0">
      <w:pPr>
        <w:pStyle w:val="Bulletpoint"/>
      </w:pPr>
      <w:r w:rsidRPr="00F6221D">
        <w:t>Bulk – Broken</w:t>
      </w:r>
    </w:p>
    <w:p w:rsidR="004D7409" w:rsidRPr="00F6221D" w:rsidRDefault="004D7409" w:rsidP="00DA47C0">
      <w:pPr>
        <w:pStyle w:val="Bulletpoint"/>
      </w:pPr>
      <w:r w:rsidRPr="00F6221D">
        <w:t>Private Diverter – all basins</w:t>
      </w:r>
    </w:p>
    <w:p w:rsidR="004D7409" w:rsidRDefault="004D7409" w:rsidP="004D7409">
      <w:r>
        <w:t xml:space="preserve">In the Murray system, it is assumed there </w:t>
      </w:r>
      <w:r w:rsidR="0007517A">
        <w:t xml:space="preserve">is one </w:t>
      </w:r>
      <w:r w:rsidR="00CA5449">
        <w:t xml:space="preserve">hypothetical </w:t>
      </w:r>
      <w:r>
        <w:t>customer</w:t>
      </w:r>
      <w:r w:rsidR="0007517A">
        <w:t xml:space="preserve"> for </w:t>
      </w:r>
      <w:r w:rsidR="00BE28CA">
        <w:t>e</w:t>
      </w:r>
      <w:r w:rsidR="0007517A">
        <w:t>ach of</w:t>
      </w:r>
      <w:r>
        <w:t>:</w:t>
      </w:r>
    </w:p>
    <w:p w:rsidR="004D7409" w:rsidRDefault="004D7409" w:rsidP="00DA47C0">
      <w:pPr>
        <w:pStyle w:val="Bulletpoint"/>
      </w:pPr>
      <w:r>
        <w:t>Bulk – Ovens</w:t>
      </w:r>
    </w:p>
    <w:p w:rsidR="004D7409" w:rsidRDefault="004D7409" w:rsidP="00DA47C0">
      <w:pPr>
        <w:pStyle w:val="Bulletpoint"/>
      </w:pPr>
      <w:r>
        <w:t>Bulk – Murray</w:t>
      </w:r>
    </w:p>
    <w:p w:rsidR="004D7409" w:rsidRDefault="004D7409" w:rsidP="00DA47C0">
      <w:pPr>
        <w:pStyle w:val="Bulletpoint"/>
      </w:pPr>
      <w:r>
        <w:t>Private Diverter – all basins</w:t>
      </w:r>
    </w:p>
    <w:p w:rsidR="004D7409" w:rsidRDefault="004D7409" w:rsidP="004D7409">
      <w:r>
        <w:t>It is further assumed that a:</w:t>
      </w:r>
    </w:p>
    <w:p w:rsidR="004D7409" w:rsidRDefault="000806CA" w:rsidP="00DA47C0">
      <w:pPr>
        <w:pStyle w:val="Bulletpoint"/>
      </w:pPr>
      <w:r>
        <w:lastRenderedPageBreak/>
        <w:t>bulk water</w:t>
      </w:r>
      <w:r w:rsidR="00E823F6">
        <w:t xml:space="preserve"> </w:t>
      </w:r>
      <w:r w:rsidR="004D7409">
        <w:t xml:space="preserve">customer holds 1000 ML of high reliability bulk water entitlement. </w:t>
      </w:r>
      <w:r w:rsidR="00BE28CA">
        <w:t>B</w:t>
      </w:r>
      <w:r w:rsidR="004D7409">
        <w:t>ulk water customer</w:t>
      </w:r>
      <w:r w:rsidR="00BE28CA">
        <w:t>s</w:t>
      </w:r>
      <w:r w:rsidR="004D7409">
        <w:t xml:space="preserve"> </w:t>
      </w:r>
      <w:r w:rsidR="005403A7">
        <w:t xml:space="preserve">may </w:t>
      </w:r>
      <w:r w:rsidR="004D7409">
        <w:t xml:space="preserve">include GMW’s retail arm, urban and rural water authorities and commercial businesses. </w:t>
      </w:r>
    </w:p>
    <w:p w:rsidR="004D7409" w:rsidRDefault="004D7409" w:rsidP="00DA47C0">
      <w:pPr>
        <w:pStyle w:val="Bulletpoint"/>
      </w:pPr>
      <w:r>
        <w:t xml:space="preserve">private diverter </w:t>
      </w:r>
    </w:p>
    <w:p w:rsidR="004D7409" w:rsidRPr="00DA1499" w:rsidRDefault="004D7409" w:rsidP="00F90601">
      <w:pPr>
        <w:pStyle w:val="Bulletpoint2"/>
      </w:pPr>
      <w:r w:rsidRPr="00DA1499">
        <w:t>is an irrigator who extracts water directly from a natural watercourse</w:t>
      </w:r>
    </w:p>
    <w:p w:rsidR="004D7409" w:rsidRPr="00DA1499" w:rsidRDefault="004D7409" w:rsidP="00F90601">
      <w:pPr>
        <w:pStyle w:val="Bulletpoint2"/>
      </w:pPr>
      <w:r w:rsidRPr="00DA1499">
        <w:t xml:space="preserve">holds 1000 ML of </w:t>
      </w:r>
      <w:r>
        <w:t xml:space="preserve">high reliability </w:t>
      </w:r>
      <w:r w:rsidRPr="00DA1499">
        <w:t>water access entitlement (Victorian water share)</w:t>
      </w:r>
    </w:p>
    <w:p w:rsidR="004D7409" w:rsidRDefault="004D7409" w:rsidP="00F90601">
      <w:pPr>
        <w:pStyle w:val="Bulletpoint2"/>
      </w:pPr>
      <w:r w:rsidRPr="00DA1499">
        <w:t>holds 10 extraction shares</w:t>
      </w:r>
      <w:r w:rsidR="00E823F6" w:rsidRPr="00F90601">
        <w:rPr>
          <w:rStyle w:val="FootnoteReference"/>
        </w:rPr>
        <w:footnoteReference w:id="36"/>
      </w:r>
      <w:r w:rsidRPr="00DA1499">
        <w:t xml:space="preserve"> based on the Victorian conversion rules used at the time of unbundling and</w:t>
      </w:r>
    </w:p>
    <w:p w:rsidR="00EF2008" w:rsidRPr="00DA1499" w:rsidRDefault="00EF2008" w:rsidP="00F90601">
      <w:pPr>
        <w:pStyle w:val="Bulletpoint2"/>
      </w:pPr>
      <w:r>
        <w:t>has 2 large-sized service points.</w:t>
      </w:r>
    </w:p>
    <w:p w:rsidR="004D7409" w:rsidRDefault="004D7409" w:rsidP="004D7409">
      <w:r w:rsidRPr="003761B8">
        <w:t xml:space="preserve">The </w:t>
      </w:r>
      <w:r w:rsidR="001C3657">
        <w:t>2015−16</w:t>
      </w:r>
      <w:r w:rsidRPr="003761B8">
        <w:t xml:space="preserve"> hypothetical bill analysis</w:t>
      </w:r>
      <w:r w:rsidR="000806CA" w:rsidRPr="003761B8">
        <w:t xml:space="preserve"> </w:t>
      </w:r>
      <w:r w:rsidRPr="003761B8">
        <w:t>includes the following charges</w:t>
      </w:r>
      <w:r w:rsidR="00424F34" w:rsidRPr="00424F34">
        <w:t xml:space="preserve"> </w:t>
      </w:r>
      <w:r w:rsidR="00424F34" w:rsidRPr="003761B8">
        <w:t xml:space="preserve">for </w:t>
      </w:r>
      <w:r w:rsidR="00424F34">
        <w:t>each type of customer</w:t>
      </w:r>
      <w:r w:rsidR="00CA5449">
        <w:t>:</w:t>
      </w:r>
    </w:p>
    <w:p w:rsidR="000806CA" w:rsidRPr="00A63D8E" w:rsidRDefault="000806CA" w:rsidP="004D7409">
      <w:pPr>
        <w:rPr>
          <w:rStyle w:val="Strong"/>
        </w:rPr>
      </w:pPr>
      <w:r w:rsidRPr="00A63D8E">
        <w:rPr>
          <w:rStyle w:val="Strong"/>
        </w:rPr>
        <w:t xml:space="preserve">Bulk water entitlement holders </w:t>
      </w:r>
    </w:p>
    <w:p w:rsidR="004D7409" w:rsidRDefault="004D7409" w:rsidP="00DA47C0">
      <w:pPr>
        <w:pStyle w:val="Bulletpoint"/>
      </w:pPr>
      <w:r>
        <w:t>Fixed:</w:t>
      </w:r>
    </w:p>
    <w:p w:rsidR="004D7409" w:rsidRDefault="004D7409" w:rsidP="00F90601">
      <w:pPr>
        <w:pStyle w:val="Bulletpoint2"/>
      </w:pPr>
      <w:r>
        <w:t>bulk water high reliability entitlement</w:t>
      </w:r>
      <w:r w:rsidR="00CA5449">
        <w:t>.</w:t>
      </w:r>
    </w:p>
    <w:p w:rsidR="004D7409" w:rsidRDefault="000806CA" w:rsidP="004D7409">
      <w:r w:rsidRPr="00A63D8E">
        <w:rPr>
          <w:rStyle w:val="Strong"/>
        </w:rPr>
        <w:t>P</w:t>
      </w:r>
      <w:r w:rsidR="004D7409" w:rsidRPr="00A63D8E">
        <w:rPr>
          <w:rStyle w:val="Strong"/>
        </w:rPr>
        <w:t>rivate diverters</w:t>
      </w:r>
    </w:p>
    <w:p w:rsidR="004D7409" w:rsidRDefault="004D7409" w:rsidP="00DA47C0">
      <w:pPr>
        <w:pStyle w:val="Bulletpoint"/>
      </w:pPr>
      <w:r>
        <w:t>Fixed:</w:t>
      </w:r>
    </w:p>
    <w:p w:rsidR="004D7409" w:rsidRDefault="004D7409" w:rsidP="00F90601">
      <w:pPr>
        <w:pStyle w:val="Bulletpoint2"/>
      </w:pPr>
      <w:r>
        <w:t xml:space="preserve">high reliability </w:t>
      </w:r>
      <w:r w:rsidR="00D258C9">
        <w:t xml:space="preserve">water share </w:t>
      </w:r>
      <w:r>
        <w:t>entitlement storage fee</w:t>
      </w:r>
    </w:p>
    <w:p w:rsidR="004D7409" w:rsidRDefault="004D7409" w:rsidP="00F90601">
      <w:pPr>
        <w:pStyle w:val="Bulletpoint2"/>
      </w:pPr>
      <w:r>
        <w:t>service fee</w:t>
      </w:r>
    </w:p>
    <w:p w:rsidR="00EF2008" w:rsidRDefault="00EF2008" w:rsidP="00F90601">
      <w:pPr>
        <w:pStyle w:val="Bulletpoint2"/>
      </w:pPr>
      <w:r>
        <w:t>access fee (regulated waterways)</w:t>
      </w:r>
    </w:p>
    <w:p w:rsidR="00EF2008" w:rsidRDefault="00EF2008" w:rsidP="00F90601">
      <w:pPr>
        <w:pStyle w:val="Bulletpoint2"/>
      </w:pPr>
      <w:r>
        <w:t>service point fee (large)</w:t>
      </w:r>
    </w:p>
    <w:p w:rsidR="009D7417" w:rsidRDefault="009D7417" w:rsidP="00081B94">
      <w:r>
        <w:t xml:space="preserve">These charges are imposed (as relevant) on the GMW customers in any of the basins in the Murray or Goulburn systems, although the actual amount of these charges will differ depending on the basin or system. </w:t>
      </w:r>
    </w:p>
    <w:p w:rsidR="004D7409" w:rsidRDefault="004D7409" w:rsidP="00081B94">
      <w:r>
        <w:t>GMW’s on-river customers do not pay specific WPM charge</w:t>
      </w:r>
      <w:r w:rsidR="00EF2008">
        <w:t>s</w:t>
      </w:r>
      <w:r>
        <w:t xml:space="preserve">. However, </w:t>
      </w:r>
      <w:r w:rsidR="00F47531">
        <w:t xml:space="preserve">GMW must pay two </w:t>
      </w:r>
      <w:r w:rsidR="00EA4776">
        <w:t xml:space="preserve">per cent </w:t>
      </w:r>
      <w:r>
        <w:t xml:space="preserve">of </w:t>
      </w:r>
      <w:r w:rsidR="00F47531">
        <w:t xml:space="preserve">its </w:t>
      </w:r>
      <w:r w:rsidR="00F47531" w:rsidRPr="00602DBF">
        <w:t xml:space="preserve">allowed </w:t>
      </w:r>
      <w:r w:rsidR="00F47531">
        <w:t xml:space="preserve">revenues as its share of the </w:t>
      </w:r>
      <w:r>
        <w:t>Victorian Environmental Contribution (see section 2</w:t>
      </w:r>
      <w:r w:rsidR="00F47531">
        <w:t>.3</w:t>
      </w:r>
      <w:r>
        <w:t xml:space="preserve"> above or chapter 3 of the </w:t>
      </w:r>
      <w:r w:rsidR="001C3657">
        <w:t>2015−16</w:t>
      </w:r>
      <w:r>
        <w:t xml:space="preserve"> Water Monitoring Report for more information on the Environmental Contribution).</w:t>
      </w:r>
    </w:p>
    <w:p w:rsidR="004D7409" w:rsidRDefault="00EA4776" w:rsidP="00897AA5">
      <w:r>
        <w:t xml:space="preserve">GMW’s schedule of charges for both its on and off-river </w:t>
      </w:r>
      <w:r w:rsidR="00FA214E">
        <w:t xml:space="preserve">infrastructure services </w:t>
      </w:r>
      <w:r>
        <w:t xml:space="preserve">can be found at </w:t>
      </w:r>
      <w:r w:rsidRPr="00040CF7">
        <w:t>section</w:t>
      </w:r>
      <w:r w:rsidR="003A21E0" w:rsidRPr="003F1051">
        <w:t xml:space="preserve"> 3.</w:t>
      </w:r>
      <w:r w:rsidR="00395E9A">
        <w:t>3.4</w:t>
      </w:r>
      <w:r w:rsidRPr="00040CF7">
        <w:t>.</w:t>
      </w:r>
      <w:r>
        <w:t xml:space="preserve"> </w:t>
      </w:r>
    </w:p>
    <w:p w:rsidR="00895EDF" w:rsidRDefault="00895EDF" w:rsidP="00736EBA">
      <w:pPr>
        <w:pStyle w:val="Numbered111"/>
      </w:pPr>
      <w:bookmarkStart w:id="98" w:name="_Toc485303345"/>
      <w:bookmarkStart w:id="99" w:name="_Toc447900600"/>
      <w:bookmarkStart w:id="100" w:name="_Toc449692990"/>
      <w:r>
        <w:t>Lower Murray Water (LMW), Victoria</w:t>
      </w:r>
      <w:bookmarkEnd w:id="98"/>
    </w:p>
    <w:p w:rsidR="00895EDF" w:rsidRDefault="00895EDF" w:rsidP="00895EDF">
      <w:r>
        <w:t xml:space="preserve">The analysis assumes a private diverter in the </w:t>
      </w:r>
      <w:r w:rsidR="00EF2008">
        <w:t xml:space="preserve">Victorian </w:t>
      </w:r>
      <w:r>
        <w:t>River Murray.</w:t>
      </w:r>
    </w:p>
    <w:p w:rsidR="00895EDF" w:rsidRDefault="00895EDF" w:rsidP="00895EDF">
      <w:pPr>
        <w:keepNext/>
      </w:pPr>
      <w:r>
        <w:t>It is further assumed that the private diverter:</w:t>
      </w:r>
    </w:p>
    <w:p w:rsidR="00895EDF" w:rsidRDefault="00895EDF" w:rsidP="00DA47C0">
      <w:pPr>
        <w:pStyle w:val="Bulletpoint"/>
      </w:pPr>
      <w:r>
        <w:t>holds 1000 ML of high reliability water access entitlement (Victorian water share)</w:t>
      </w:r>
      <w:r w:rsidR="00EF2008">
        <w:t xml:space="preserve"> and an equivalent volume of annual use limit</w:t>
      </w:r>
    </w:p>
    <w:p w:rsidR="00895EDF" w:rsidRDefault="00895EDF" w:rsidP="00DA47C0">
      <w:pPr>
        <w:pStyle w:val="Bulletpoint"/>
      </w:pPr>
      <w:r>
        <w:t>holds 10 extraction shares based on the Victorian conversion rules used at the time of unbundling and</w:t>
      </w:r>
    </w:p>
    <w:p w:rsidR="00895EDF" w:rsidRDefault="00895EDF" w:rsidP="00DA47C0">
      <w:pPr>
        <w:pStyle w:val="Bulletpoint"/>
      </w:pPr>
      <w:r>
        <w:lastRenderedPageBreak/>
        <w:t>has one account, and thus incurs the service charge once.</w:t>
      </w:r>
    </w:p>
    <w:p w:rsidR="00895EDF" w:rsidRDefault="00895EDF" w:rsidP="00895EDF">
      <w:r w:rsidRPr="003761B8">
        <w:t xml:space="preserve">The </w:t>
      </w:r>
      <w:r w:rsidR="001C3657">
        <w:t>2015−16</w:t>
      </w:r>
      <w:r w:rsidRPr="003761B8">
        <w:t xml:space="preserve"> hypothetical bill analysis includes the following charges for </w:t>
      </w:r>
      <w:r>
        <w:t>private diverters</w:t>
      </w:r>
      <w:r w:rsidR="00EF2008">
        <w:t>:</w:t>
      </w:r>
      <w:r>
        <w:t xml:space="preserve"> </w:t>
      </w:r>
    </w:p>
    <w:p w:rsidR="00895EDF" w:rsidRDefault="00895EDF" w:rsidP="00895EDF">
      <w:r>
        <w:t>Fixed:</w:t>
      </w:r>
    </w:p>
    <w:p w:rsidR="00895EDF" w:rsidRPr="00D8464F" w:rsidRDefault="00895EDF" w:rsidP="00DA47C0">
      <w:pPr>
        <w:pStyle w:val="Bulletpoint"/>
      </w:pPr>
      <w:r w:rsidRPr="00D8464F">
        <w:t>service charge</w:t>
      </w:r>
    </w:p>
    <w:p w:rsidR="00895EDF" w:rsidRPr="00D8464F" w:rsidRDefault="00895EDF" w:rsidP="00DA47C0">
      <w:pPr>
        <w:pStyle w:val="Bulletpoint"/>
      </w:pPr>
      <w:r w:rsidRPr="00D8464F">
        <w:t>operational fee</w:t>
      </w:r>
    </w:p>
    <w:p w:rsidR="00895EDF" w:rsidRPr="00D8464F" w:rsidRDefault="00895EDF" w:rsidP="00DA47C0">
      <w:pPr>
        <w:pStyle w:val="Bulletpoint"/>
      </w:pPr>
      <w:r w:rsidRPr="00D8464F">
        <w:t>entitlement storage fee</w:t>
      </w:r>
      <w:r w:rsidR="00EF2008" w:rsidRPr="00D8464F">
        <w:t xml:space="preserve"> (Murray Basin)</w:t>
      </w:r>
    </w:p>
    <w:p w:rsidR="00895EDF" w:rsidRPr="00D8464F" w:rsidRDefault="00895EDF" w:rsidP="00DA47C0">
      <w:pPr>
        <w:pStyle w:val="Bulletpoint"/>
      </w:pPr>
      <w:r w:rsidRPr="00D8464F">
        <w:t>DE</w:t>
      </w:r>
      <w:r w:rsidR="004D6F87" w:rsidRPr="00D8464F">
        <w:t>LW</w:t>
      </w:r>
      <w:r w:rsidRPr="00D8464F">
        <w:t>P water share fee</w:t>
      </w:r>
      <w:r w:rsidR="00FA214E" w:rsidRPr="00D8464F">
        <w:t>.</w:t>
      </w:r>
    </w:p>
    <w:p w:rsidR="00895EDF" w:rsidRDefault="00895EDF" w:rsidP="00895EDF">
      <w:r>
        <w:t>The entitlement storage fee is an on-river infrastructure charge imposed on LMW by GMW. LMW classifies its service charge</w:t>
      </w:r>
      <w:r w:rsidR="005403A7">
        <w:t>, operational fee</w:t>
      </w:r>
      <w:r>
        <w:t xml:space="preserve"> and DE</w:t>
      </w:r>
      <w:r w:rsidR="004D6F87">
        <w:t>LW</w:t>
      </w:r>
      <w:r>
        <w:t>P water share fee as WPM charge</w:t>
      </w:r>
      <w:r w:rsidR="005403A7">
        <w:t>s</w:t>
      </w:r>
      <w:r>
        <w:t>.</w:t>
      </w:r>
    </w:p>
    <w:p w:rsidR="00895EDF" w:rsidRPr="00742093" w:rsidRDefault="00895EDF" w:rsidP="003F1051">
      <w:r>
        <w:t xml:space="preserve">LMW’s schedule of charges for both its on and off-river </w:t>
      </w:r>
      <w:r w:rsidR="00FA214E">
        <w:t xml:space="preserve">infrastructure </w:t>
      </w:r>
      <w:r w:rsidR="00EF2008">
        <w:t xml:space="preserve">services </w:t>
      </w:r>
      <w:r>
        <w:t xml:space="preserve">can be found at </w:t>
      </w:r>
      <w:r w:rsidRPr="003F1051">
        <w:t>section</w:t>
      </w:r>
      <w:r w:rsidR="004D6F87" w:rsidRPr="003F1051">
        <w:t xml:space="preserve"> 3.</w:t>
      </w:r>
      <w:r w:rsidR="005403A7">
        <w:t>3.5.</w:t>
      </w:r>
    </w:p>
    <w:p w:rsidR="00EA4776" w:rsidRDefault="00EA4776" w:rsidP="00736EBA">
      <w:pPr>
        <w:pStyle w:val="Numbered111"/>
      </w:pPr>
      <w:bookmarkStart w:id="101" w:name="_Toc485303346"/>
      <w:r>
        <w:t>WaterNSW, NSW</w:t>
      </w:r>
      <w:bookmarkEnd w:id="101"/>
    </w:p>
    <w:p w:rsidR="00EA4776" w:rsidRPr="00AE168F" w:rsidRDefault="00EA4776" w:rsidP="00EA4776">
      <w:r>
        <w:t xml:space="preserve">WaterNSW has both private diverter customers and other customers such as off-river IOs and urban water authorities. The charges </w:t>
      </w:r>
      <w:r w:rsidR="005403A7">
        <w:t xml:space="preserve">for a given valley and entitlement reliability </w:t>
      </w:r>
      <w:r w:rsidR="00B45696">
        <w:t>do not vary based on the type of customer</w:t>
      </w:r>
      <w:r w:rsidR="007276EA">
        <w:t xml:space="preserve"> (i.e. private diverters pay the same charges as other on</w:t>
      </w:r>
      <w:r w:rsidR="007276EA">
        <w:noBreakHyphen/>
        <w:t>river customers</w:t>
      </w:r>
      <w:r w:rsidR="007276EA">
        <w:rPr>
          <w:rStyle w:val="FootnoteReference"/>
        </w:rPr>
        <w:footnoteReference w:id="37"/>
      </w:r>
      <w:r w:rsidR="007276EA">
        <w:t>)</w:t>
      </w:r>
      <w:r w:rsidR="00B45696">
        <w:t>.</w:t>
      </w:r>
      <w:r>
        <w:t xml:space="preserve"> </w:t>
      </w:r>
      <w:r w:rsidR="00201217">
        <w:t>Therefore</w:t>
      </w:r>
      <w:r>
        <w:t xml:space="preserve">, the ACCC has produced one set of hypothetical bills for an on-river customer holding 1000 ML of water access entitlement (NSW water access licence). </w:t>
      </w:r>
    </w:p>
    <w:p w:rsidR="00EA4776" w:rsidRDefault="00EA4776" w:rsidP="00EA4776">
      <w:r>
        <w:t>The analysis assumes 16 WaterNSW customers, two per valley</w:t>
      </w:r>
      <w:r w:rsidR="007276EA">
        <w:t>—</w:t>
      </w:r>
      <w:r>
        <w:t xml:space="preserve">one holding high security water access entitlement and the other holding general security water access entitlement. </w:t>
      </w:r>
      <w:r w:rsidR="007276EA">
        <w:t>Hypothetical bills are produced for each NSW regulated river valley in the MDB, namely</w:t>
      </w:r>
      <w:r>
        <w:t>:</w:t>
      </w:r>
    </w:p>
    <w:p w:rsidR="00EA4776" w:rsidRDefault="00EA4776" w:rsidP="00DA47C0">
      <w:pPr>
        <w:pStyle w:val="Bulletpoint"/>
      </w:pPr>
      <w:r>
        <w:t>Murray</w:t>
      </w:r>
    </w:p>
    <w:p w:rsidR="00EA4776" w:rsidRDefault="00EA4776" w:rsidP="00DA47C0">
      <w:pPr>
        <w:pStyle w:val="Bulletpoint"/>
      </w:pPr>
      <w:r>
        <w:t>Murrumbidgee</w:t>
      </w:r>
    </w:p>
    <w:p w:rsidR="00EA4776" w:rsidRDefault="00EA4776" w:rsidP="00DA47C0">
      <w:pPr>
        <w:pStyle w:val="Bulletpoint"/>
      </w:pPr>
      <w:r>
        <w:t>Lachlan</w:t>
      </w:r>
    </w:p>
    <w:p w:rsidR="00EA4776" w:rsidRDefault="00EA4776" w:rsidP="00DA47C0">
      <w:pPr>
        <w:pStyle w:val="Bulletpoint"/>
      </w:pPr>
      <w:r>
        <w:t>Macquarie</w:t>
      </w:r>
    </w:p>
    <w:p w:rsidR="00EA4776" w:rsidRDefault="00EA4776" w:rsidP="00DA47C0">
      <w:pPr>
        <w:pStyle w:val="Bulletpoint"/>
      </w:pPr>
      <w:r>
        <w:t>Namoi</w:t>
      </w:r>
    </w:p>
    <w:p w:rsidR="00EA4776" w:rsidRDefault="00EA4776" w:rsidP="00DA47C0">
      <w:pPr>
        <w:pStyle w:val="Bulletpoint"/>
      </w:pPr>
      <w:r>
        <w:t>Peel</w:t>
      </w:r>
    </w:p>
    <w:p w:rsidR="00EA4776" w:rsidRDefault="00EA4776" w:rsidP="00DA47C0">
      <w:pPr>
        <w:pStyle w:val="Bulletpoint"/>
      </w:pPr>
      <w:r>
        <w:t>Gwydir</w:t>
      </w:r>
    </w:p>
    <w:p w:rsidR="00EA4776" w:rsidRDefault="00EA4776" w:rsidP="00DA47C0">
      <w:pPr>
        <w:pStyle w:val="Bulletpoint"/>
      </w:pPr>
      <w:r>
        <w:t>Border</w:t>
      </w:r>
    </w:p>
    <w:p w:rsidR="00EA4776" w:rsidRDefault="00EA4776" w:rsidP="00EA4776">
      <w:r w:rsidRPr="003761B8">
        <w:t xml:space="preserve">The </w:t>
      </w:r>
      <w:r w:rsidR="001C3657">
        <w:t>2015−16</w:t>
      </w:r>
      <w:r w:rsidRPr="003761B8">
        <w:t xml:space="preserve"> hypothetical bill analysis includes the following charges</w:t>
      </w:r>
      <w:r w:rsidR="007276EA">
        <w:t>:</w:t>
      </w:r>
    </w:p>
    <w:p w:rsidR="00EA4776" w:rsidRDefault="00EA4776" w:rsidP="00EA4776">
      <w:pPr>
        <w:keepNext/>
      </w:pPr>
      <w:r>
        <w:t>Fixed:</w:t>
      </w:r>
    </w:p>
    <w:p w:rsidR="00EA4776" w:rsidRDefault="004D6F87" w:rsidP="00DA47C0">
      <w:pPr>
        <w:pStyle w:val="Bulletpoint"/>
      </w:pPr>
      <w:r>
        <w:t xml:space="preserve">WaterNSW </w:t>
      </w:r>
      <w:r w:rsidR="00986320">
        <w:t>a</w:t>
      </w:r>
      <w:r w:rsidR="00EA4776">
        <w:t xml:space="preserve">ccess </w:t>
      </w:r>
      <w:r w:rsidR="00201217">
        <w:t>(entitlement) charge</w:t>
      </w:r>
    </w:p>
    <w:p w:rsidR="00EA4776" w:rsidRDefault="00EA4776" w:rsidP="00DA47C0">
      <w:pPr>
        <w:pStyle w:val="Bulletpoint"/>
      </w:pPr>
      <w:r>
        <w:t xml:space="preserve">DPI </w:t>
      </w:r>
      <w:r w:rsidR="00D258C9">
        <w:t xml:space="preserve">Water </w:t>
      </w:r>
      <w:r>
        <w:t xml:space="preserve">access </w:t>
      </w:r>
      <w:r w:rsidR="00201217">
        <w:t>(entitlement) charge</w:t>
      </w:r>
    </w:p>
    <w:p w:rsidR="00EA4776" w:rsidRDefault="00EA4776" w:rsidP="00EA4776">
      <w:r>
        <w:lastRenderedPageBreak/>
        <w:t>Variable:</w:t>
      </w:r>
    </w:p>
    <w:p w:rsidR="00EA4776" w:rsidRDefault="004D6F87" w:rsidP="00DA47C0">
      <w:pPr>
        <w:pStyle w:val="Bulletpoint"/>
      </w:pPr>
      <w:r>
        <w:t>WaterNSW u</w:t>
      </w:r>
      <w:r w:rsidR="00EA4776">
        <w:t>sage fee</w:t>
      </w:r>
    </w:p>
    <w:p w:rsidR="00EA4776" w:rsidRDefault="00EA4776" w:rsidP="00DA47C0">
      <w:pPr>
        <w:pStyle w:val="Bulletpoint"/>
      </w:pPr>
      <w:r>
        <w:t xml:space="preserve">DPI </w:t>
      </w:r>
      <w:r w:rsidR="00D258C9">
        <w:t xml:space="preserve">Water </w:t>
      </w:r>
      <w:r>
        <w:t>usage fee</w:t>
      </w:r>
    </w:p>
    <w:p w:rsidR="00EA4776" w:rsidRDefault="00EA4776" w:rsidP="00EA4776">
      <w:r>
        <w:t xml:space="preserve">The DPI </w:t>
      </w:r>
      <w:r w:rsidR="00D258C9">
        <w:t xml:space="preserve">Water </w:t>
      </w:r>
      <w:r>
        <w:t xml:space="preserve">access and usage </w:t>
      </w:r>
      <w:r w:rsidR="00201217">
        <w:t>charge</w:t>
      </w:r>
      <w:r>
        <w:t xml:space="preserve"> </w:t>
      </w:r>
      <w:r w:rsidR="007276EA">
        <w:t>are</w:t>
      </w:r>
      <w:r>
        <w:t xml:space="preserve"> WPM charges imposed by DPI </w:t>
      </w:r>
      <w:r w:rsidR="00D258C9">
        <w:t xml:space="preserve">Water </w:t>
      </w:r>
      <w:r>
        <w:t xml:space="preserve">and </w:t>
      </w:r>
      <w:r w:rsidR="00275A8D">
        <w:t>collected by WaterNSW from its</w:t>
      </w:r>
      <w:r>
        <w:t xml:space="preserve"> customers</w:t>
      </w:r>
      <w:r w:rsidR="00275A8D">
        <w:t xml:space="preserve"> on behalf of DPI</w:t>
      </w:r>
      <w:r w:rsidR="00D258C9">
        <w:t xml:space="preserve"> Water</w:t>
      </w:r>
      <w:r w:rsidR="00275A8D">
        <w:t>.</w:t>
      </w:r>
      <w:r>
        <w:t xml:space="preserve"> </w:t>
      </w:r>
    </w:p>
    <w:p w:rsidR="00EA4776" w:rsidRDefault="00EA4776" w:rsidP="00EA4776">
      <w:r>
        <w:t xml:space="preserve">The ACCC sourced WaterNSW’s </w:t>
      </w:r>
      <w:r w:rsidR="007276EA">
        <w:t xml:space="preserve">2015−16 </w:t>
      </w:r>
      <w:r>
        <w:t>schedule of charges from its website</w:t>
      </w:r>
      <w:r w:rsidR="0051686D">
        <w:t xml:space="preserve">: </w:t>
      </w:r>
      <w:hyperlink r:id="rId44" w:history="1">
        <w:r w:rsidR="00D258C9" w:rsidRPr="007D5EC1">
          <w:rPr>
            <w:rStyle w:val="Hyperlink"/>
          </w:rPr>
          <w:t>http://www.waternsw.com.au/customer-service/pricing/rural/regulated-charges/regulated-river-prices-for-1-july-2015-30-june-2016</w:t>
        </w:r>
      </w:hyperlink>
      <w:r>
        <w:t xml:space="preserve">. </w:t>
      </w:r>
    </w:p>
    <w:p w:rsidR="00EA4776" w:rsidRDefault="00895EDF" w:rsidP="00736EBA">
      <w:r>
        <w:rPr>
          <w:noProof/>
          <w:lang w:eastAsia="en-AU"/>
        </w:rPr>
        <w:lastRenderedPageBreak/>
        <w:drawing>
          <wp:inline distT="0" distB="0" distL="0" distR="0" wp14:anchorId="293647ED" wp14:editId="227212D6">
            <wp:extent cx="5727801" cy="8288121"/>
            <wp:effectExtent l="0" t="0" r="6350" b="0"/>
            <wp:docPr id="100" name="Picture 1" descr="Schedule of Charges of WaterNSW - Regulated River Charges - used by the ACCC to prepare hypothetical bills for the 2015-16 water year." title="WaterNSW Schedule of Charges, Regulated River Pric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a:stretch>
                      <a:fillRect/>
                    </a:stretch>
                  </pic:blipFill>
                  <pic:spPr>
                    <a:xfrm>
                      <a:off x="0" y="0"/>
                      <a:ext cx="5727801" cy="8288121"/>
                    </a:xfrm>
                    <a:prstGeom prst="rect">
                      <a:avLst/>
                    </a:prstGeom>
                  </pic:spPr>
                </pic:pic>
              </a:graphicData>
            </a:graphic>
          </wp:inline>
        </w:drawing>
      </w:r>
    </w:p>
    <w:p w:rsidR="00895EDF" w:rsidRDefault="00895EDF" w:rsidP="003F1051">
      <w:r>
        <w:rPr>
          <w:noProof/>
          <w:lang w:eastAsia="en-AU"/>
        </w:rPr>
        <w:lastRenderedPageBreak/>
        <w:drawing>
          <wp:inline distT="0" distB="0" distL="0" distR="0" wp14:anchorId="0D495704" wp14:editId="519BDB91">
            <wp:extent cx="5731510" cy="4438650"/>
            <wp:effectExtent l="0" t="0" r="2540" b="0"/>
            <wp:docPr id="103" name="Picture 2" descr="Schedule of Charges of WaterNSW - Fish River Prices -  used by the ACCC to prepare hypothetical bills for the 2015-16 water year." title="WaterNSW Schedule of Charges, Fish River Pric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a:stretch>
                      <a:fillRect/>
                    </a:stretch>
                  </pic:blipFill>
                  <pic:spPr>
                    <a:xfrm>
                      <a:off x="0" y="0"/>
                      <a:ext cx="5731510" cy="4438650"/>
                    </a:xfrm>
                    <a:prstGeom prst="rect">
                      <a:avLst/>
                    </a:prstGeom>
                  </pic:spPr>
                </pic:pic>
              </a:graphicData>
            </a:graphic>
          </wp:inline>
        </w:drawing>
      </w:r>
    </w:p>
    <w:p w:rsidR="00895EDF" w:rsidRDefault="00895EDF" w:rsidP="003F1051">
      <w:r>
        <w:rPr>
          <w:noProof/>
          <w:lang w:eastAsia="en-AU"/>
        </w:rPr>
        <w:lastRenderedPageBreak/>
        <w:drawing>
          <wp:inline distT="0" distB="0" distL="0" distR="0" wp14:anchorId="63431C78" wp14:editId="20A81CC9">
            <wp:extent cx="5731510" cy="4569460"/>
            <wp:effectExtent l="0" t="0" r="2540" b="2540"/>
            <wp:docPr id="104" name="Picture 3" descr="Schedule of Charges of WaterNSW, Metering Service Charges, used by the ACCC to prepare hypothetical bills for the 2015-16 water year." title="WaterNSW Schedule of Charges, Metering Service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a:off x="0" y="0"/>
                      <a:ext cx="5731510" cy="4569460"/>
                    </a:xfrm>
                    <a:prstGeom prst="rect">
                      <a:avLst/>
                    </a:prstGeom>
                  </pic:spPr>
                </pic:pic>
              </a:graphicData>
            </a:graphic>
          </wp:inline>
        </w:drawing>
      </w:r>
    </w:p>
    <w:p w:rsidR="009E2593" w:rsidRDefault="009E2593" w:rsidP="00736EBA">
      <w:r>
        <w:rPr>
          <w:noProof/>
          <w:lang w:eastAsia="en-AU"/>
        </w:rPr>
        <w:drawing>
          <wp:inline distT="0" distB="0" distL="0" distR="0" wp14:anchorId="6C6501CA" wp14:editId="7A029A1D">
            <wp:extent cx="5733971" cy="3667125"/>
            <wp:effectExtent l="0" t="0" r="635" b="0"/>
            <wp:docPr id="106" name="Picture 4" descr="Schedule of Charges of WaterNSW - ICD Rebates - used by the ACCC to prepare hypothetical bills for the 2015-16 water year." title="WaterNSW Schedule of Charges, ICD Rebat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stretch>
                      <a:fillRect/>
                    </a:stretch>
                  </pic:blipFill>
                  <pic:spPr>
                    <a:xfrm>
                      <a:off x="0" y="0"/>
                      <a:ext cx="5731510" cy="3665551"/>
                    </a:xfrm>
                    <a:prstGeom prst="rect">
                      <a:avLst/>
                    </a:prstGeom>
                  </pic:spPr>
                </pic:pic>
              </a:graphicData>
            </a:graphic>
          </wp:inline>
        </w:drawing>
      </w:r>
    </w:p>
    <w:p w:rsidR="00661484" w:rsidRPr="00736EBA" w:rsidRDefault="00661484" w:rsidP="00736EBA">
      <w:pPr>
        <w:pStyle w:val="Numbered111"/>
      </w:pPr>
      <w:bookmarkStart w:id="102" w:name="_Toc485303347"/>
      <w:r w:rsidRPr="00736EBA">
        <w:lastRenderedPageBreak/>
        <w:t>Department of Natural Resources and Mines (DNRM), Queensland</w:t>
      </w:r>
      <w:bookmarkEnd w:id="102"/>
    </w:p>
    <w:p w:rsidR="00661484" w:rsidRDefault="00661484" w:rsidP="00661484">
      <w:r>
        <w:t xml:space="preserve">The analysis assumes one Queensland DNRM private diverter holding 1000 ML of water access entitlement (Queensland water allocation) </w:t>
      </w:r>
      <w:r w:rsidR="00F92F4A">
        <w:t xml:space="preserve">located within the Dumaresq River water management area </w:t>
      </w:r>
      <w:r>
        <w:t xml:space="preserve">in the Border Rivers </w:t>
      </w:r>
      <w:r w:rsidR="00F92F4A">
        <w:t xml:space="preserve">resource operations plan </w:t>
      </w:r>
      <w:r>
        <w:t xml:space="preserve">area. </w:t>
      </w:r>
    </w:p>
    <w:p w:rsidR="00661484" w:rsidRDefault="00661484" w:rsidP="00661484">
      <w:r w:rsidRPr="00270267">
        <w:t xml:space="preserve">The </w:t>
      </w:r>
      <w:r w:rsidR="001C3657">
        <w:t>2015−16</w:t>
      </w:r>
      <w:r w:rsidRPr="00270267">
        <w:t xml:space="preserve"> hypothetical bill analysis includes the following charge</w:t>
      </w:r>
      <w:r>
        <w:t xml:space="preserve">s for customers listed on DNRM’s </w:t>
      </w:r>
      <w:r w:rsidRPr="00270267">
        <w:t>schedule of charges</w:t>
      </w:r>
      <w:r w:rsidR="00CA417B">
        <w:t xml:space="preserve"> (Dumaresq River water management area)</w:t>
      </w:r>
      <w:r>
        <w:t>.</w:t>
      </w:r>
    </w:p>
    <w:p w:rsidR="00661484" w:rsidRPr="00CA417B" w:rsidRDefault="00661484" w:rsidP="00661484">
      <w:r w:rsidRPr="00CA417B">
        <w:t>Fixed:</w:t>
      </w:r>
    </w:p>
    <w:p w:rsidR="00661484" w:rsidRPr="00CA417B" w:rsidRDefault="00661484" w:rsidP="00DA47C0">
      <w:pPr>
        <w:pStyle w:val="Bulletpoint"/>
      </w:pPr>
      <w:r w:rsidRPr="00CA417B">
        <w:t>Fixed entitlement charge (Part A)</w:t>
      </w:r>
    </w:p>
    <w:p w:rsidR="00661484" w:rsidRDefault="00661484" w:rsidP="00661484">
      <w:r>
        <w:t>Variable:</w:t>
      </w:r>
    </w:p>
    <w:p w:rsidR="00661484" w:rsidRPr="00270267" w:rsidRDefault="00661484" w:rsidP="00DA47C0">
      <w:pPr>
        <w:pStyle w:val="Bulletpoint"/>
      </w:pPr>
      <w:r>
        <w:t>Variable usage charge (Part B)</w:t>
      </w:r>
    </w:p>
    <w:p w:rsidR="00661484" w:rsidRPr="003F1051" w:rsidRDefault="00FD54AC" w:rsidP="007654DA">
      <w:r>
        <w:t xml:space="preserve">The </w:t>
      </w:r>
      <w:r w:rsidR="00661484" w:rsidRPr="003F1051">
        <w:t xml:space="preserve">charges for </w:t>
      </w:r>
      <w:r>
        <w:t>Dumaresq River water management area</w:t>
      </w:r>
      <w:r w:rsidRPr="003F1051">
        <w:t xml:space="preserve"> </w:t>
      </w:r>
      <w:r w:rsidR="00661484" w:rsidRPr="003F1051">
        <w:t xml:space="preserve">for </w:t>
      </w:r>
      <w:r w:rsidR="001C3657">
        <w:t>2015−16</w:t>
      </w:r>
      <w:r w:rsidR="00661484" w:rsidRPr="003F1051">
        <w:t xml:space="preserve"> </w:t>
      </w:r>
      <w:r>
        <w:t xml:space="preserve">are shown in </w:t>
      </w:r>
      <w:r w:rsidRPr="003F1051">
        <w:t>DNRM</w:t>
      </w:r>
      <w:r>
        <w:t>’s schedule of charges (schedule 14) in section 2.1.1 above</w:t>
      </w:r>
      <w:r w:rsidR="00661484" w:rsidRPr="003F1051">
        <w:t>.</w:t>
      </w:r>
    </w:p>
    <w:p w:rsidR="00611115" w:rsidRDefault="00611115" w:rsidP="00736EBA">
      <w:pPr>
        <w:pStyle w:val="Numbered111"/>
      </w:pPr>
      <w:bookmarkStart w:id="103" w:name="_Ref484437101"/>
      <w:bookmarkStart w:id="104" w:name="_Toc485303348"/>
      <w:r>
        <w:t>SunWater, Queensland</w:t>
      </w:r>
      <w:bookmarkEnd w:id="103"/>
      <w:bookmarkEnd w:id="104"/>
    </w:p>
    <w:p w:rsidR="00611115" w:rsidRDefault="00611115" w:rsidP="00611115">
      <w:r>
        <w:t>The analysis assumes eight SunWater private diverters holding 1000 ML of water access entitlement (Queensland water allocation)</w:t>
      </w:r>
      <w:r w:rsidR="003A1298">
        <w:t>, located in the following areas of the Queensland MDB:</w:t>
      </w:r>
    </w:p>
    <w:p w:rsidR="00611115" w:rsidRDefault="00611115" w:rsidP="00DA47C0">
      <w:pPr>
        <w:pStyle w:val="Bulletpoint"/>
      </w:pPr>
      <w:r>
        <w:t>Cunnamulla</w:t>
      </w:r>
    </w:p>
    <w:p w:rsidR="00611115" w:rsidRDefault="00611115" w:rsidP="00DA47C0">
      <w:pPr>
        <w:pStyle w:val="Bulletpoint"/>
      </w:pPr>
      <w:r>
        <w:t>Chinchilla Weir</w:t>
      </w:r>
    </w:p>
    <w:p w:rsidR="003A1298" w:rsidRDefault="003A1298" w:rsidP="00DA47C0">
      <w:pPr>
        <w:pStyle w:val="Bulletpoint"/>
      </w:pPr>
      <w:r>
        <w:t>Macintyre Brook</w:t>
      </w:r>
    </w:p>
    <w:p w:rsidR="00611115" w:rsidRDefault="003A1298" w:rsidP="00DA47C0">
      <w:pPr>
        <w:pStyle w:val="Bulletpoint"/>
      </w:pPr>
      <w:r>
        <w:t xml:space="preserve">Maranoa Weir </w:t>
      </w:r>
      <w:r w:rsidR="00611115">
        <w:t>St George</w:t>
      </w:r>
    </w:p>
    <w:p w:rsidR="00611115" w:rsidRDefault="00611115" w:rsidP="00DA47C0">
      <w:pPr>
        <w:pStyle w:val="Bulletpoint"/>
      </w:pPr>
      <w:r>
        <w:t>Upper Condamine</w:t>
      </w:r>
      <w:r w:rsidR="003A1298">
        <w:t>—further divided into the following three pricing categories/areas:</w:t>
      </w:r>
    </w:p>
    <w:p w:rsidR="00611115" w:rsidRPr="00DA1499" w:rsidRDefault="00611115" w:rsidP="00F90601">
      <w:pPr>
        <w:pStyle w:val="Bulletpoint2"/>
      </w:pPr>
      <w:r w:rsidRPr="00DA1499">
        <w:t>North branch</w:t>
      </w:r>
    </w:p>
    <w:p w:rsidR="00611115" w:rsidRPr="00DA1499" w:rsidRDefault="00611115" w:rsidP="00F90601">
      <w:pPr>
        <w:pStyle w:val="Bulletpoint2"/>
      </w:pPr>
      <w:r w:rsidRPr="00DA1499">
        <w:t xml:space="preserve">North branch </w:t>
      </w:r>
      <w:r w:rsidR="00FD54AC">
        <w:t>R</w:t>
      </w:r>
      <w:r w:rsidRPr="00DA1499">
        <w:t>isk A</w:t>
      </w:r>
    </w:p>
    <w:p w:rsidR="00611115" w:rsidRPr="00DA1499" w:rsidRDefault="00611115" w:rsidP="00F90601">
      <w:pPr>
        <w:pStyle w:val="Bulletpoint2"/>
      </w:pPr>
      <w:r w:rsidRPr="00DA1499">
        <w:t>Sandy Creek</w:t>
      </w:r>
      <w:r w:rsidR="00F03E8D">
        <w:t>/</w:t>
      </w:r>
      <w:r w:rsidRPr="00DA1499">
        <w:t>Condamine River</w:t>
      </w:r>
      <w:r w:rsidR="004D52D0">
        <w:t>.</w:t>
      </w:r>
    </w:p>
    <w:p w:rsidR="00611115" w:rsidRDefault="00611115" w:rsidP="00611115">
      <w:r w:rsidRPr="00270267">
        <w:t xml:space="preserve">The </w:t>
      </w:r>
      <w:r w:rsidR="001C3657">
        <w:t>2015−16</w:t>
      </w:r>
      <w:r w:rsidRPr="00270267">
        <w:t xml:space="preserve"> hypothetical bill analysis includes the following charge</w:t>
      </w:r>
      <w:r>
        <w:t>s for customers</w:t>
      </w:r>
      <w:r w:rsidR="003A1298">
        <w:t>:</w:t>
      </w:r>
    </w:p>
    <w:p w:rsidR="00611115" w:rsidRDefault="00611115" w:rsidP="00611115">
      <w:r>
        <w:t>Fixed:</w:t>
      </w:r>
    </w:p>
    <w:p w:rsidR="00611115" w:rsidRDefault="00F3509F" w:rsidP="00DA47C0">
      <w:pPr>
        <w:pStyle w:val="Bulletpoint"/>
      </w:pPr>
      <w:r>
        <w:t>a</w:t>
      </w:r>
      <w:r w:rsidR="00611115">
        <w:t xml:space="preserve">llocation </w:t>
      </w:r>
      <w:r>
        <w:t>c</w:t>
      </w:r>
      <w:r w:rsidR="00611115">
        <w:t>harge</w:t>
      </w:r>
      <w:r>
        <w:t xml:space="preserve"> – bulk water charge part A</w:t>
      </w:r>
    </w:p>
    <w:p w:rsidR="00611115" w:rsidRDefault="00611115" w:rsidP="00611115">
      <w:r>
        <w:t>Variable:</w:t>
      </w:r>
    </w:p>
    <w:p w:rsidR="00611115" w:rsidRPr="00270267" w:rsidRDefault="00F3509F" w:rsidP="00DA47C0">
      <w:pPr>
        <w:pStyle w:val="Bulletpoint"/>
      </w:pPr>
      <w:r>
        <w:t>a</w:t>
      </w:r>
      <w:r w:rsidR="00611115">
        <w:t xml:space="preserve">llocation </w:t>
      </w:r>
      <w:r>
        <w:t>w</w:t>
      </w:r>
      <w:r w:rsidR="00611115">
        <w:t>ater</w:t>
      </w:r>
      <w:r>
        <w:t xml:space="preserve"> – bulk water charge part B </w:t>
      </w:r>
    </w:p>
    <w:p w:rsidR="00DD3794" w:rsidRDefault="00F41934" w:rsidP="00081B94">
      <w:r>
        <w:t xml:space="preserve">SunWater’s schedule of charges for both its on and off-river </w:t>
      </w:r>
      <w:r w:rsidR="00FA214E">
        <w:t xml:space="preserve">infrastructure </w:t>
      </w:r>
      <w:r w:rsidR="003A1298">
        <w:t xml:space="preserve">services </w:t>
      </w:r>
      <w:r>
        <w:t xml:space="preserve">can be found </w:t>
      </w:r>
      <w:r w:rsidR="00DD3794">
        <w:t>below.</w:t>
      </w:r>
    </w:p>
    <w:p w:rsidR="00DD3794" w:rsidRDefault="004A6913">
      <w:pPr>
        <w:rPr>
          <w:rFonts w:cs="Times New Roman"/>
        </w:rPr>
      </w:pPr>
      <w:r w:rsidRPr="003F1051">
        <w:t xml:space="preserve"> </w:t>
      </w:r>
    </w:p>
    <w:p w:rsidR="00DD3794" w:rsidRDefault="00DD3794">
      <w:r>
        <w:rPr>
          <w:noProof/>
          <w:lang w:eastAsia="en-AU"/>
        </w:rPr>
        <w:lastRenderedPageBreak/>
        <w:drawing>
          <wp:inline distT="0" distB="0" distL="0" distR="0" wp14:anchorId="50DF54C7" wp14:editId="22C43514">
            <wp:extent cx="5731510" cy="7244080"/>
            <wp:effectExtent l="0" t="0" r="2540" b="0"/>
            <wp:docPr id="113" name="Picture 4" descr="Schedule of Charges of SunWater - used by the ACCC to prepare hypothetical bills relating to the St George Water Supply Scheme  for the 2015-16 water year." title="SunWater - St George Water Supply Scheme Schedule of Charges, 2015-16,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a:stretch>
                      <a:fillRect/>
                    </a:stretch>
                  </pic:blipFill>
                  <pic:spPr>
                    <a:xfrm>
                      <a:off x="0" y="0"/>
                      <a:ext cx="5731510" cy="7244080"/>
                    </a:xfrm>
                    <a:prstGeom prst="rect">
                      <a:avLst/>
                    </a:prstGeom>
                  </pic:spPr>
                </pic:pic>
              </a:graphicData>
            </a:graphic>
          </wp:inline>
        </w:drawing>
      </w:r>
    </w:p>
    <w:p w:rsidR="00DD3794" w:rsidRDefault="00DD3794">
      <w:r>
        <w:br w:type="page"/>
      </w:r>
    </w:p>
    <w:p w:rsidR="00DD3794" w:rsidRDefault="00DD3794">
      <w:r>
        <w:rPr>
          <w:noProof/>
          <w:lang w:eastAsia="en-AU"/>
        </w:rPr>
        <w:lastRenderedPageBreak/>
        <w:drawing>
          <wp:inline distT="0" distB="0" distL="0" distR="0" wp14:anchorId="5C35117D" wp14:editId="7AECBE5A">
            <wp:extent cx="5731510" cy="8079740"/>
            <wp:effectExtent l="0" t="0" r="2540" b="0"/>
            <wp:docPr id="114" name="Picture 7" descr="Schedule of Charges of SunWater -used by the ACCC to prepare hypothetical bills relating to the St George Water Supply Scheme  for the 2015-16 water year." title="SunWater - St George Water Supply Scheme Schedule of Charges, 2015-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0"/>
                    <a:stretch>
                      <a:fillRect/>
                    </a:stretch>
                  </pic:blipFill>
                  <pic:spPr>
                    <a:xfrm>
                      <a:off x="0" y="0"/>
                      <a:ext cx="5731510" cy="8079740"/>
                    </a:xfrm>
                    <a:prstGeom prst="rect">
                      <a:avLst/>
                    </a:prstGeom>
                  </pic:spPr>
                </pic:pic>
              </a:graphicData>
            </a:graphic>
          </wp:inline>
        </w:drawing>
      </w:r>
    </w:p>
    <w:p w:rsidR="005A7707" w:rsidRDefault="00DD3794">
      <w:r>
        <w:br w:type="page"/>
      </w:r>
      <w:r>
        <w:rPr>
          <w:noProof/>
          <w:lang w:eastAsia="en-AU"/>
        </w:rPr>
        <w:lastRenderedPageBreak/>
        <w:drawing>
          <wp:inline distT="0" distB="0" distL="0" distR="0" wp14:anchorId="674F69A5" wp14:editId="6C94CECF">
            <wp:extent cx="5731510" cy="7757795"/>
            <wp:effectExtent l="0" t="0" r="2540" b="0"/>
            <wp:docPr id="115" name="Picture 1" descr="Schedule of Charges of SunWater - used by the ACCC to prepare hypothetical bills relating to the Chincilla Weir Water Supply Scheme for the 2015-16 water year.&#10;" title="SunWater - Chincilla Weir Water Supply Scheme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a:stretch>
                      <a:fillRect/>
                    </a:stretch>
                  </pic:blipFill>
                  <pic:spPr>
                    <a:xfrm>
                      <a:off x="0" y="0"/>
                      <a:ext cx="5731510" cy="7757795"/>
                    </a:xfrm>
                    <a:prstGeom prst="rect">
                      <a:avLst/>
                    </a:prstGeom>
                  </pic:spPr>
                </pic:pic>
              </a:graphicData>
            </a:graphic>
          </wp:inline>
        </w:drawing>
      </w:r>
    </w:p>
    <w:p w:rsidR="005A7707" w:rsidRDefault="005A7707">
      <w:r>
        <w:br w:type="page"/>
      </w:r>
    </w:p>
    <w:p w:rsidR="005A7707" w:rsidRDefault="005A7707">
      <w:r>
        <w:rPr>
          <w:noProof/>
          <w:lang w:eastAsia="en-AU"/>
        </w:rPr>
        <w:lastRenderedPageBreak/>
        <w:drawing>
          <wp:inline distT="0" distB="0" distL="0" distR="0" wp14:anchorId="23CEBC4F" wp14:editId="4D1AE5C2">
            <wp:extent cx="5731510" cy="7766685"/>
            <wp:effectExtent l="0" t="0" r="2540" b="5715"/>
            <wp:docPr id="116" name="Picture 8" descr="Schedule of Charges of SunWater -  used by the ACCC to prepare hypothetical bills relating to the Upper Condamine Water Supply Scheme for the 2015-16 water year." title="SunWater - Upper Condamine Water Supply Scheme Schedule of Charges, 2015-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2"/>
                    <a:stretch>
                      <a:fillRect/>
                    </a:stretch>
                  </pic:blipFill>
                  <pic:spPr>
                    <a:xfrm>
                      <a:off x="0" y="0"/>
                      <a:ext cx="5731510" cy="7766685"/>
                    </a:xfrm>
                    <a:prstGeom prst="rect">
                      <a:avLst/>
                    </a:prstGeom>
                  </pic:spPr>
                </pic:pic>
              </a:graphicData>
            </a:graphic>
          </wp:inline>
        </w:drawing>
      </w:r>
    </w:p>
    <w:p w:rsidR="005A7707" w:rsidRDefault="005A7707">
      <w:r>
        <w:br w:type="page"/>
      </w:r>
    </w:p>
    <w:p w:rsidR="005A7707" w:rsidRDefault="005A7707">
      <w:r>
        <w:rPr>
          <w:noProof/>
          <w:lang w:eastAsia="en-AU"/>
        </w:rPr>
        <w:lastRenderedPageBreak/>
        <w:drawing>
          <wp:inline distT="0" distB="0" distL="0" distR="0" wp14:anchorId="1BED331F" wp14:editId="75CEF876">
            <wp:extent cx="5731510" cy="7392035"/>
            <wp:effectExtent l="0" t="0" r="2540" b="0"/>
            <wp:docPr id="117" name="Picture 2" descr="Schedule of Charges of SunWater - used by the ACCC to prepare hypothetical bills relating to the Upper Condamine Water Supply Scheme for the 2015-16 water year.&#10;&#10;&#10;" title="SunWater - Upper Condamine Water Supply Scheme Schedule of Charges, 2015-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a:stretch>
                      <a:fillRect/>
                    </a:stretch>
                  </pic:blipFill>
                  <pic:spPr>
                    <a:xfrm>
                      <a:off x="0" y="0"/>
                      <a:ext cx="5731510" cy="7392035"/>
                    </a:xfrm>
                    <a:prstGeom prst="rect">
                      <a:avLst/>
                    </a:prstGeom>
                  </pic:spPr>
                </pic:pic>
              </a:graphicData>
            </a:graphic>
          </wp:inline>
        </w:drawing>
      </w:r>
    </w:p>
    <w:p w:rsidR="005A7707" w:rsidRDefault="005A7707">
      <w:r>
        <w:br w:type="page"/>
      </w:r>
    </w:p>
    <w:p w:rsidR="005A7707" w:rsidRDefault="005A7707">
      <w:r>
        <w:rPr>
          <w:noProof/>
          <w:lang w:eastAsia="en-AU"/>
        </w:rPr>
        <w:lastRenderedPageBreak/>
        <w:drawing>
          <wp:inline distT="0" distB="0" distL="0" distR="0" wp14:anchorId="201EBCA8" wp14:editId="56384130">
            <wp:extent cx="5731510" cy="8027670"/>
            <wp:effectExtent l="0" t="0" r="2540" b="0"/>
            <wp:docPr id="118" name="Picture 5" descr="Schedule of Charges of SunWater -used by the ACCC to prepare hypothetical bills relating to the Maranoa River Water Supply Scheme for the 2015-16 water year." title="SunWater - Maranoa River Water Supply Scheme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4"/>
                    <a:stretch>
                      <a:fillRect/>
                    </a:stretch>
                  </pic:blipFill>
                  <pic:spPr>
                    <a:xfrm>
                      <a:off x="0" y="0"/>
                      <a:ext cx="5731510" cy="8027670"/>
                    </a:xfrm>
                    <a:prstGeom prst="rect">
                      <a:avLst/>
                    </a:prstGeom>
                  </pic:spPr>
                </pic:pic>
              </a:graphicData>
            </a:graphic>
          </wp:inline>
        </w:drawing>
      </w:r>
    </w:p>
    <w:p w:rsidR="005A7707" w:rsidRDefault="005A7707">
      <w:r>
        <w:br w:type="page"/>
      </w:r>
    </w:p>
    <w:p w:rsidR="005A7707" w:rsidRDefault="005A7707">
      <w:r>
        <w:rPr>
          <w:noProof/>
          <w:lang w:eastAsia="en-AU"/>
        </w:rPr>
        <w:lastRenderedPageBreak/>
        <w:drawing>
          <wp:inline distT="0" distB="0" distL="0" distR="0" wp14:anchorId="4729A534" wp14:editId="23B3A2C5">
            <wp:extent cx="5731510" cy="7164705"/>
            <wp:effectExtent l="0" t="0" r="2540" b="0"/>
            <wp:docPr id="119" name="Picture 3" descr="Schedule of Charges of SunWater - used by the ACCC to prepare hypothetical bills relating to the Cunnamulla River Water Supply Scheme for the 2015-16 water year." title="SunWater - Cunnamulla Water Supply Scheme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5"/>
                    <a:stretch>
                      <a:fillRect/>
                    </a:stretch>
                  </pic:blipFill>
                  <pic:spPr>
                    <a:xfrm>
                      <a:off x="0" y="0"/>
                      <a:ext cx="5731510" cy="7164705"/>
                    </a:xfrm>
                    <a:prstGeom prst="rect">
                      <a:avLst/>
                    </a:prstGeom>
                  </pic:spPr>
                </pic:pic>
              </a:graphicData>
            </a:graphic>
          </wp:inline>
        </w:drawing>
      </w:r>
    </w:p>
    <w:p w:rsidR="005A7707" w:rsidRDefault="005A7707">
      <w:r>
        <w:br w:type="page"/>
      </w:r>
    </w:p>
    <w:p w:rsidR="005A7707" w:rsidRDefault="005A7707">
      <w:r>
        <w:rPr>
          <w:noProof/>
          <w:lang w:eastAsia="en-AU"/>
        </w:rPr>
        <w:lastRenderedPageBreak/>
        <w:drawing>
          <wp:inline distT="0" distB="0" distL="0" distR="0" wp14:anchorId="3D78221A" wp14:editId="44C124AC">
            <wp:extent cx="5731510" cy="7440295"/>
            <wp:effectExtent l="0" t="0" r="2540" b="8255"/>
            <wp:docPr id="120" name="Picture 6" descr="Schedule of Charges of SunWater - used by the ACCC to prepare hypothetical bills relating to the Macintyre Brook Water Supply Scheme for the 2015-16 water year." title="SunWater - Macintyre Brook Water Supply Scheme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6"/>
                    <a:stretch>
                      <a:fillRect/>
                    </a:stretch>
                  </pic:blipFill>
                  <pic:spPr>
                    <a:xfrm>
                      <a:off x="0" y="0"/>
                      <a:ext cx="5731510" cy="7440295"/>
                    </a:xfrm>
                    <a:prstGeom prst="rect">
                      <a:avLst/>
                    </a:prstGeom>
                  </pic:spPr>
                </pic:pic>
              </a:graphicData>
            </a:graphic>
          </wp:inline>
        </w:drawing>
      </w:r>
    </w:p>
    <w:p w:rsidR="000B4A40" w:rsidRDefault="000B4A40" w:rsidP="000B4A40">
      <w:pPr>
        <w:pStyle w:val="Numbered111"/>
      </w:pPr>
      <w:bookmarkStart w:id="105" w:name="_Toc485303349"/>
      <w:r>
        <w:t>S</w:t>
      </w:r>
      <w:r w:rsidR="004178A1">
        <w:t xml:space="preserve">outh </w:t>
      </w:r>
      <w:r>
        <w:t>A</w:t>
      </w:r>
      <w:r w:rsidR="004178A1">
        <w:t>ustralian</w:t>
      </w:r>
      <w:r>
        <w:t xml:space="preserve"> Murray private diverter, S</w:t>
      </w:r>
      <w:r w:rsidR="004178A1">
        <w:t xml:space="preserve">outh </w:t>
      </w:r>
      <w:r>
        <w:t>A</w:t>
      </w:r>
      <w:r w:rsidR="004178A1">
        <w:t>ustralia</w:t>
      </w:r>
      <w:bookmarkEnd w:id="105"/>
    </w:p>
    <w:p w:rsidR="000B4A40" w:rsidRDefault="000B4A40" w:rsidP="000B4A40">
      <w:r>
        <w:t>South Australian water users do not receive any on-river infrastructure services from an on</w:t>
      </w:r>
      <w:r>
        <w:noBreakHyphen/>
        <w:t xml:space="preserve">river IO located in SA. However, private diverters along the Murray River in SA are required to pay WPM charges and therefore hypothetical bills have been produced for customers located on-river. </w:t>
      </w:r>
    </w:p>
    <w:p w:rsidR="000B4A40" w:rsidRDefault="000B4A40" w:rsidP="000B4A40">
      <w:r w:rsidRPr="003761B8">
        <w:lastRenderedPageBreak/>
        <w:t xml:space="preserve">The </w:t>
      </w:r>
      <w:r>
        <w:t>2015−16</w:t>
      </w:r>
      <w:r w:rsidRPr="003761B8">
        <w:t xml:space="preserve"> hypothetical bill analysis </w:t>
      </w:r>
      <w:r>
        <w:t xml:space="preserve">for private diverters </w:t>
      </w:r>
      <w:r w:rsidRPr="003761B8">
        <w:t>includes the following</w:t>
      </w:r>
      <w:r>
        <w:t xml:space="preserve"> WPM</w:t>
      </w:r>
      <w:r w:rsidRPr="003761B8">
        <w:t xml:space="preserve"> charge</w:t>
      </w:r>
      <w:r>
        <w:t>:</w:t>
      </w:r>
    </w:p>
    <w:p w:rsidR="000B4A40" w:rsidRDefault="000B4A40" w:rsidP="00DA47C0">
      <w:pPr>
        <w:pStyle w:val="Bulletpoint"/>
      </w:pPr>
      <w:r>
        <w:t>NRM Water Levy.</w:t>
      </w:r>
    </w:p>
    <w:p w:rsidR="000B4A40" w:rsidRDefault="000B4A40" w:rsidP="000B4A40">
      <w:r>
        <w:t xml:space="preserve">The level of NRM Water Levy charges in the SAMDB for 2015−16 can be found at section </w:t>
      </w:r>
      <w:r>
        <w:fldChar w:fldCharType="begin"/>
      </w:r>
      <w:r>
        <w:instrText xml:space="preserve"> REF _Ref484182183 \r \h </w:instrText>
      </w:r>
      <w:r>
        <w:fldChar w:fldCharType="separate"/>
      </w:r>
      <w:r>
        <w:t>2.2.5</w:t>
      </w:r>
      <w:r>
        <w:fldChar w:fldCharType="end"/>
      </w:r>
      <w:r>
        <w:t>.</w:t>
      </w:r>
    </w:p>
    <w:p w:rsidR="00DD3794" w:rsidRPr="002B37DD" w:rsidRDefault="005A7707" w:rsidP="003F1051">
      <w:r>
        <w:br w:type="page"/>
      </w:r>
    </w:p>
    <w:p w:rsidR="00897AA5" w:rsidRDefault="00F41934" w:rsidP="00736EBA">
      <w:pPr>
        <w:pStyle w:val="Numbered11"/>
      </w:pPr>
      <w:bookmarkStart w:id="106" w:name="_Toc485303350"/>
      <w:r>
        <w:lastRenderedPageBreak/>
        <w:t xml:space="preserve">Hypothetical </w:t>
      </w:r>
      <w:r w:rsidR="00F36AB1">
        <w:t>b</w:t>
      </w:r>
      <w:r>
        <w:t>ills</w:t>
      </w:r>
      <w:r w:rsidR="00E551D7">
        <w:t>—</w:t>
      </w:r>
      <w:r w:rsidR="00F36AB1">
        <w:t>o</w:t>
      </w:r>
      <w:r w:rsidR="00897AA5">
        <w:t>ff-river infrastructure operators</w:t>
      </w:r>
      <w:bookmarkEnd w:id="99"/>
      <w:bookmarkEnd w:id="100"/>
      <w:bookmarkEnd w:id="106"/>
    </w:p>
    <w:p w:rsidR="003621AC" w:rsidRDefault="00897AA5" w:rsidP="003621AC">
      <w:r>
        <w:t xml:space="preserve">Hypothetical bills were constructed </w:t>
      </w:r>
      <w:r w:rsidR="003A1298">
        <w:t xml:space="preserve">using assumptions about </w:t>
      </w:r>
      <w:r w:rsidR="0046008B">
        <w:t>typical customers</w:t>
      </w:r>
      <w:r w:rsidR="003621AC">
        <w:t>’ charging profile</w:t>
      </w:r>
      <w:r w:rsidR="0046008B">
        <w:t xml:space="preserve"> </w:t>
      </w:r>
      <w:r w:rsidR="003A1298">
        <w:t xml:space="preserve">for </w:t>
      </w:r>
      <w:r w:rsidR="0046008B">
        <w:t xml:space="preserve">each </w:t>
      </w:r>
      <w:r w:rsidR="003A1298">
        <w:t xml:space="preserve">reporting </w:t>
      </w:r>
      <w:r w:rsidR="0046008B">
        <w:t>IIO</w:t>
      </w:r>
      <w:r w:rsidR="003A1298">
        <w:t xml:space="preserve"> holding over 10 GL of water access entitlement</w:t>
      </w:r>
      <w:r w:rsidR="0046008B">
        <w:t>.</w:t>
      </w:r>
      <w:r w:rsidR="00B81226">
        <w:rPr>
          <w:rStyle w:val="FootnoteReference"/>
        </w:rPr>
        <w:footnoteReference w:id="38"/>
      </w:r>
      <w:r w:rsidR="0046008B">
        <w:t xml:space="preserve"> </w:t>
      </w:r>
      <w:r w:rsidR="003621AC">
        <w:t xml:space="preserve">The typical irrigator charging profile is assessed from each IIO’s response to the ACCC’s annual RFI and discussions with each off-river IO. </w:t>
      </w:r>
    </w:p>
    <w:p w:rsidR="0046008B" w:rsidRDefault="00135455" w:rsidP="00897AA5">
      <w:r>
        <w:t xml:space="preserve">Several of the larger IIOs </w:t>
      </w:r>
      <w:r w:rsidR="003A1298">
        <w:t xml:space="preserve">have tariff structures in which charges differ based on </w:t>
      </w:r>
      <w:r>
        <w:t xml:space="preserve">network </w:t>
      </w:r>
      <w:r w:rsidR="00EA1323">
        <w:t>and/</w:t>
      </w:r>
      <w:r>
        <w:t xml:space="preserve">or </w:t>
      </w:r>
      <w:r w:rsidR="00D73172">
        <w:t>the customer</w:t>
      </w:r>
      <w:r w:rsidR="00FA214E">
        <w:t>’</w:t>
      </w:r>
      <w:r w:rsidR="00D73172">
        <w:t xml:space="preserve">s water access </w:t>
      </w:r>
      <w:r>
        <w:t>entitlement</w:t>
      </w:r>
      <w:r w:rsidR="00D73172">
        <w:t xml:space="preserve"> (WAE)/irrigation right (IR) </w:t>
      </w:r>
      <w:r>
        <w:t xml:space="preserve">category. </w:t>
      </w:r>
      <w:r w:rsidR="0046008B">
        <w:t xml:space="preserve">Customers were categorised by either </w:t>
      </w:r>
      <w:r>
        <w:t>the</w:t>
      </w:r>
      <w:r w:rsidR="0046008B">
        <w:t xml:space="preserve"> network they used or their </w:t>
      </w:r>
      <w:r w:rsidR="00D73172">
        <w:t xml:space="preserve">WAE/IR </w:t>
      </w:r>
      <w:r w:rsidR="0046008B">
        <w:t xml:space="preserve">category. This resulted in </w:t>
      </w:r>
      <w:r>
        <w:t>39</w:t>
      </w:r>
      <w:r w:rsidR="0046008B">
        <w:t xml:space="preserve"> customer profiles across 19 reporting off</w:t>
      </w:r>
      <w:r w:rsidR="00D73172">
        <w:noBreakHyphen/>
      </w:r>
      <w:r w:rsidR="0046008B">
        <w:t>river IIOs.</w:t>
      </w:r>
    </w:p>
    <w:p w:rsidR="00112291" w:rsidRDefault="0046008B" w:rsidP="00897AA5">
      <w:r>
        <w:t>For each customer profile</w:t>
      </w:r>
      <w:r w:rsidR="00112291">
        <w:t>, six different hypothetical bills were constructed, reflecting:</w:t>
      </w:r>
    </w:p>
    <w:p w:rsidR="00112291" w:rsidRDefault="00112291" w:rsidP="00DA47C0">
      <w:pPr>
        <w:pStyle w:val="Bulletpoint"/>
      </w:pPr>
      <w:r>
        <w:t>three different volumes of water access entitlements (or irrigation right</w:t>
      </w:r>
      <w:r w:rsidR="00D73172">
        <w:t xml:space="preserve"> for relevant SA and NSW customers</w:t>
      </w:r>
      <w:r>
        <w:t>) and a corresponding volume of water delivery right of 50 ML, 250 ML and 1000 ML</w:t>
      </w:r>
    </w:p>
    <w:p w:rsidR="00112291" w:rsidRDefault="00112291" w:rsidP="00DA47C0">
      <w:pPr>
        <w:pStyle w:val="Bulletpoint"/>
      </w:pPr>
      <w:r>
        <w:t xml:space="preserve">two different </w:t>
      </w:r>
      <w:r w:rsidR="00135455">
        <w:t>levels of water delivery –</w:t>
      </w:r>
      <w:r>
        <w:t xml:space="preserve"> either 50 per cent or 100 per cent </w:t>
      </w:r>
      <w:r w:rsidR="00135455">
        <w:t>of entitlement</w:t>
      </w:r>
      <w:r>
        <w:t>.</w:t>
      </w:r>
    </w:p>
    <w:p w:rsidR="00112291" w:rsidRDefault="00112291">
      <w:r>
        <w:t>For example, for the 250 ML of water access entitlement scenario, hypothetical bills were constructed assuming either 125 ML or 250 ML water was deliver</w:t>
      </w:r>
      <w:r w:rsidR="0026783D">
        <w:t xml:space="preserve">ed to the customer. </w:t>
      </w:r>
      <w:r w:rsidR="008A3F81">
        <w:t>T</w:t>
      </w:r>
      <w:r w:rsidR="0026783D">
        <w:t xml:space="preserve">he </w:t>
      </w:r>
      <w:r>
        <w:t xml:space="preserve">majority of analysis presented </w:t>
      </w:r>
      <w:r w:rsidR="008A3F81">
        <w:t xml:space="preserve">in the main report </w:t>
      </w:r>
      <w:r>
        <w:t>relates to an irrigator holding 250 ML of water access entitlement</w:t>
      </w:r>
      <w:r w:rsidR="008A3F81">
        <w:t>; however, Table 5.6 presents results from the 50 ML and 1000 ML hypothetical bill analysis as well</w:t>
      </w:r>
      <w:r w:rsidR="003621AC">
        <w:t>.</w:t>
      </w:r>
      <w:r>
        <w:t xml:space="preserve"> </w:t>
      </w:r>
    </w:p>
    <w:p w:rsidR="00270683" w:rsidRDefault="008A3F81" w:rsidP="00897AA5">
      <w:r>
        <w:t>The hypothetical bill analysis includes:</w:t>
      </w:r>
    </w:p>
    <w:p w:rsidR="008A3F81" w:rsidRDefault="008A3F81" w:rsidP="00DA47C0">
      <w:pPr>
        <w:pStyle w:val="Bulletpoint"/>
      </w:pPr>
      <w:r>
        <w:t>off-river infrastructure charges identified as being payable by the ‘typical’ irrigator</w:t>
      </w:r>
    </w:p>
    <w:p w:rsidR="00270683" w:rsidRDefault="00270683" w:rsidP="00DA47C0">
      <w:pPr>
        <w:pStyle w:val="Bulletpoint"/>
      </w:pPr>
      <w:r>
        <w:t>all charges listed on an IIO’s schedule of ch</w:t>
      </w:r>
      <w:r w:rsidR="001C3657">
        <w:t>arges that relate to WPM and on</w:t>
      </w:r>
      <w:r w:rsidR="001C3657" w:rsidRPr="001C3657">
        <w:t>-</w:t>
      </w:r>
      <w:r>
        <w:t xml:space="preserve">river infrastructure charges which are </w:t>
      </w:r>
      <w:r w:rsidR="008A3F81">
        <w:t xml:space="preserve">incurred by the operator and </w:t>
      </w:r>
      <w:r>
        <w:t xml:space="preserve">passed </w:t>
      </w:r>
      <w:r w:rsidR="008A3F81">
        <w:t xml:space="preserve">through </w:t>
      </w:r>
      <w:r>
        <w:t>to its customers.</w:t>
      </w:r>
      <w:r>
        <w:rPr>
          <w:rStyle w:val="FootnoteReference"/>
        </w:rPr>
        <w:footnoteReference w:id="39"/>
      </w:r>
      <w:r>
        <w:t xml:space="preserve"> </w:t>
      </w:r>
    </w:p>
    <w:p w:rsidR="00897AA5" w:rsidRDefault="008A3F81" w:rsidP="00F90601">
      <w:r>
        <w:t>W</w:t>
      </w:r>
      <w:r w:rsidR="00897AA5">
        <w:t xml:space="preserve">here an IIO presents a single ‘government charge’ on their schedule of charges which includes both WPM and on-river infrastructure charges, the ACCC has separated out the components attributable to on-river infrastructure charges and the components attributable to WPM charges in conjunction with the relevant off-river IO. This document sets out all the IIO-specific assumptions and calculations used to separate the on-river infrastructure and WPM charge components. </w:t>
      </w:r>
    </w:p>
    <w:p w:rsidR="00897AA5" w:rsidRDefault="00897AA5" w:rsidP="00897AA5">
      <w:r>
        <w:t xml:space="preserve">Actual individual bills for customers located off-river will depend on the nature of their water holdings and network access and </w:t>
      </w:r>
      <w:r w:rsidR="008A3F81">
        <w:t xml:space="preserve">may </w:t>
      </w:r>
      <w:r>
        <w:t>not correspond directly with the ACCC’s hypothetical bills. Further, the ACCC</w:t>
      </w:r>
      <w:r w:rsidR="00FA214E">
        <w:t>’</w:t>
      </w:r>
      <w:r>
        <w:t xml:space="preserve">s analysis does not account for irrigator behaviour that may alter the amount of the bill, for example allocation trade, casual user arrangements, carryover decisions and the timing of water delivery. </w:t>
      </w:r>
    </w:p>
    <w:p w:rsidR="00897AA5" w:rsidRDefault="00897AA5" w:rsidP="00DA47C0">
      <w:pPr>
        <w:pStyle w:val="Heading4"/>
      </w:pPr>
      <w:r>
        <w:t>Termination fees</w:t>
      </w:r>
    </w:p>
    <w:p w:rsidR="00897AA5" w:rsidRDefault="00897AA5" w:rsidP="00897AA5">
      <w:r>
        <w:t xml:space="preserve">Hypothetical termination fees were constructed for </w:t>
      </w:r>
      <w:r w:rsidR="003B37EF">
        <w:t xml:space="preserve">36 customer </w:t>
      </w:r>
      <w:r>
        <w:t>profiles, across 19 reporting off-river IOs.</w:t>
      </w:r>
      <w:r>
        <w:rPr>
          <w:rStyle w:val="FootnoteReference"/>
        </w:rPr>
        <w:footnoteReference w:id="40"/>
      </w:r>
      <w:r>
        <w:t xml:space="preserve"> Th</w:t>
      </w:r>
      <w:r w:rsidR="008A3F81">
        <w:t>is</w:t>
      </w:r>
      <w:r>
        <w:t xml:space="preserve"> analysis</w:t>
      </w:r>
      <w:r w:rsidR="008F7BEA">
        <w:t>,</w:t>
      </w:r>
      <w:r w:rsidR="008F7BEA" w:rsidRPr="008F7BEA">
        <w:t xml:space="preserve"> </w:t>
      </w:r>
      <w:r w:rsidR="008F7BEA">
        <w:t>reported in chapter 6</w:t>
      </w:r>
      <w:r w:rsidR="00D20B1C">
        <w:t xml:space="preserve"> of the Water Monitoring Report</w:t>
      </w:r>
      <w:r w:rsidR="008F7BEA">
        <w:t>,</w:t>
      </w:r>
      <w:r>
        <w:t xml:space="preserve"> consists </w:t>
      </w:r>
      <w:r>
        <w:lastRenderedPageBreak/>
        <w:t xml:space="preserve">of two scenarios for each hypothetical irrigator where the irrigator holds 250 ML of water delivery right and terminates either 50 per cent or 100 per cent of their water delivery right. </w:t>
      </w:r>
    </w:p>
    <w:p w:rsidR="00897AA5" w:rsidRDefault="00897AA5" w:rsidP="00897AA5">
      <w:r>
        <w:t xml:space="preserve">The ACCC constructs the hypothetical termination fee from the volumetric fixed and </w:t>
      </w:r>
      <w:r w:rsidR="008A3F81">
        <w:t>all relevant</w:t>
      </w:r>
      <w:r w:rsidR="008A3F81" w:rsidRPr="006B464C">
        <w:t xml:space="preserve"> </w:t>
      </w:r>
      <w:r w:rsidRPr="006B464C">
        <w:t>non-volumetric</w:t>
      </w:r>
      <w:r w:rsidR="003B37EF" w:rsidRPr="006B464C">
        <w:t xml:space="preserve"> fixed</w:t>
      </w:r>
      <w:r>
        <w:t xml:space="preserve"> off-river infrastructure charges </w:t>
      </w:r>
      <w:r w:rsidR="008A3F81">
        <w:t xml:space="preserve">(e.g. outlet charges) </w:t>
      </w:r>
      <w:r>
        <w:t xml:space="preserve">listed on </w:t>
      </w:r>
      <w:r w:rsidR="008A3F81">
        <w:t>the operator’s</w:t>
      </w:r>
      <w:r>
        <w:t xml:space="preserve"> schedule of charges, multiplied by 10</w:t>
      </w:r>
      <w:r w:rsidR="006731AA">
        <w:rPr>
          <w:rStyle w:val="FootnoteReference"/>
        </w:rPr>
        <w:footnoteReference w:id="41"/>
      </w:r>
      <w:r>
        <w:t xml:space="preserve">, unless: </w:t>
      </w:r>
    </w:p>
    <w:p w:rsidR="00897AA5" w:rsidRDefault="00897AA5" w:rsidP="00DA47C0">
      <w:pPr>
        <w:pStyle w:val="Bulletpoint"/>
      </w:pPr>
      <w:r>
        <w:t>a termination fee is explicitly listed on the schedule of charges</w:t>
      </w:r>
      <w:r w:rsidR="007B4DB2">
        <w:t>,</w:t>
      </w:r>
      <w:r>
        <w:t xml:space="preserve"> or</w:t>
      </w:r>
    </w:p>
    <w:p w:rsidR="00897AA5" w:rsidRDefault="00897AA5" w:rsidP="00DA47C0">
      <w:pPr>
        <w:pStyle w:val="Bulletpoint"/>
      </w:pPr>
      <w:r>
        <w:t xml:space="preserve">the IIO has advised that certain fixed or non-volumetric off-river infrastructure charges are not included in the calculation of the termination fee. </w:t>
      </w:r>
    </w:p>
    <w:p w:rsidR="00897AA5" w:rsidRDefault="00897AA5" w:rsidP="00897AA5">
      <w:r>
        <w:t>In the</w:t>
      </w:r>
      <w:r w:rsidR="00BD606B">
        <w:t xml:space="preserve"> former </w:t>
      </w:r>
      <w:r>
        <w:t xml:space="preserve">case, the analysis </w:t>
      </w:r>
      <w:r w:rsidR="007F3406">
        <w:t xml:space="preserve">uses </w:t>
      </w:r>
      <w:r>
        <w:t xml:space="preserve">the termination fee or charge(s) </w:t>
      </w:r>
      <w:r w:rsidR="007F3406">
        <w:t>list</w:t>
      </w:r>
      <w:r>
        <w:t>ed by the off-river IO</w:t>
      </w:r>
      <w:r w:rsidR="007F3406">
        <w:t xml:space="preserve"> in its schedule of charges</w:t>
      </w:r>
      <w:r>
        <w:t>.</w:t>
      </w:r>
      <w:r w:rsidR="00BD606B">
        <w:t xml:space="preserve"> In the latter case, the ACCC will calculate the termination fee without including the </w:t>
      </w:r>
      <w:r w:rsidR="009E075C">
        <w:t xml:space="preserve">specified </w:t>
      </w:r>
      <w:r w:rsidR="00BD606B">
        <w:t>fixed or non-volumetric off-river infrastructure charges</w:t>
      </w:r>
      <w:r w:rsidR="007A3A49">
        <w:t>.</w:t>
      </w:r>
      <w:r w:rsidR="00BD606B">
        <w:t xml:space="preserve"> </w:t>
      </w:r>
    </w:p>
    <w:p w:rsidR="00897AA5" w:rsidRDefault="00897AA5" w:rsidP="00897AA5">
      <w:r>
        <w:t>In some off-river IOs, a right of access includes a right to drainage as well as delivery of water. Off-river infrastructure charges for drainage services are imposed either:</w:t>
      </w:r>
    </w:p>
    <w:p w:rsidR="00897AA5" w:rsidRDefault="00897AA5" w:rsidP="00DA47C0">
      <w:pPr>
        <w:pStyle w:val="Bulletpoint"/>
      </w:pPr>
      <w:r>
        <w:t>on the basis of the volume of water delivery right held</w:t>
      </w:r>
      <w:r w:rsidR="009E075C">
        <w:t>,</w:t>
      </w:r>
      <w:r>
        <w:t xml:space="preserve"> or</w:t>
      </w:r>
    </w:p>
    <w:p w:rsidR="00897AA5" w:rsidRDefault="00897AA5" w:rsidP="00DA47C0">
      <w:pPr>
        <w:pStyle w:val="Bulletpoint"/>
      </w:pPr>
      <w:r>
        <w:t xml:space="preserve">with reference to something other than the volume of water delivery right held, for example a fixed charge per outlet, property or account. </w:t>
      </w:r>
    </w:p>
    <w:p w:rsidR="00897AA5" w:rsidRDefault="00897AA5" w:rsidP="00897AA5">
      <w:r>
        <w:t>In the first case, it is assumed that an equivalent amount of delivery and drainage components are terminated in both the 50 per cent and 100 per cent termination scenarios. In the second case, it is assumed that drainage components are only terminated when 100 per cent of the irrigator’s water delivery right is terminated.</w:t>
      </w:r>
      <w:r>
        <w:rPr>
          <w:rStyle w:val="FootnoteReference"/>
        </w:rPr>
        <w:footnoteReference w:id="42"/>
      </w:r>
      <w:r>
        <w:t xml:space="preserve"> </w:t>
      </w:r>
    </w:p>
    <w:p w:rsidR="00897AA5" w:rsidRDefault="00897AA5" w:rsidP="00897AA5">
      <w:r>
        <w:t xml:space="preserve">The Water Charge (Termination Fee) Rules 2009 </w:t>
      </w:r>
      <w:r w:rsidR="009E075C">
        <w:t xml:space="preserve">(WCTFR) </w:t>
      </w:r>
      <w:r>
        <w:t xml:space="preserve">allow an IIO to increase their termination fee by the amount of </w:t>
      </w:r>
      <w:r w:rsidR="00D33BF8">
        <w:t>the Commonwealth Government’s Goods and Services Tax (</w:t>
      </w:r>
      <w:r>
        <w:t>GST</w:t>
      </w:r>
      <w:r w:rsidR="00D33BF8">
        <w:t>)</w:t>
      </w:r>
      <w:r>
        <w:t xml:space="preserve"> payable. Where it is explicit from the schedule of charges that GST is </w:t>
      </w:r>
      <w:r w:rsidR="00A40B37">
        <w:t>applied to the termination fee payable</w:t>
      </w:r>
      <w:r>
        <w:t xml:space="preserve">, the charge(s) </w:t>
      </w:r>
      <w:r w:rsidR="00A40B37">
        <w:t xml:space="preserve">used to calculate the termination fee are </w:t>
      </w:r>
      <w:r>
        <w:t>adjusted to exclude the GST for the purpose of the ACCC’s analysis</w:t>
      </w:r>
      <w:r w:rsidR="00A40B37">
        <w:t>, consistent with the ACCC guidance on applying GST to termination fees</w:t>
      </w:r>
      <w:r>
        <w:t>.</w:t>
      </w:r>
      <w:r w:rsidR="00A40B37">
        <w:rPr>
          <w:rStyle w:val="FootnoteReference"/>
        </w:rPr>
        <w:footnoteReference w:id="43"/>
      </w:r>
      <w:r>
        <w:t xml:space="preserve"> However, many schedule</w:t>
      </w:r>
      <w:r w:rsidR="00A40B37">
        <w:t>s</w:t>
      </w:r>
      <w:r>
        <w:t xml:space="preserve"> of charges are silent as to whether GST is payable. Therefore, </w:t>
      </w:r>
      <w:r w:rsidR="00D473BA">
        <w:t>where the operator’s schedule of charges is silent on whether GST is included in a charge, the ACCC assumes that it is not</w:t>
      </w:r>
      <w:r>
        <w:t>, unless the IIO has indicated to the ACCC otherwise. The GST adjustment</w:t>
      </w:r>
      <w:r w:rsidR="00D473BA">
        <w:t>s</w:t>
      </w:r>
      <w:r>
        <w:t xml:space="preserve"> </w:t>
      </w:r>
      <w:r w:rsidR="00D473BA">
        <w:t xml:space="preserve">are </w:t>
      </w:r>
      <w:r>
        <w:t xml:space="preserve">made in order to allow for more </w:t>
      </w:r>
      <w:r w:rsidR="00D33BF8">
        <w:t>consistent</w:t>
      </w:r>
      <w:r>
        <w:t xml:space="preserve"> comparisons across IIOs. </w:t>
      </w:r>
    </w:p>
    <w:p w:rsidR="00897AA5" w:rsidRDefault="00897AA5" w:rsidP="00897AA5">
      <w:r>
        <w:t xml:space="preserve">The ACCC’s analysis of hypothetical termination fees does not account for certain varied circumstances under which an IIO may waive or discount the termination fee payable by a terminating irrigator. </w:t>
      </w:r>
      <w:r w:rsidR="00745CE1">
        <w:t>As such, this analysis can be interpreted as showing the maximum termination fee payable given the assumptions</w:t>
      </w:r>
      <w:r w:rsidR="009E075C">
        <w:t xml:space="preserve"> made</w:t>
      </w:r>
      <w:r w:rsidR="00745CE1">
        <w:t>.</w:t>
      </w:r>
    </w:p>
    <w:p w:rsidR="00897AA5" w:rsidRDefault="00897AA5" w:rsidP="00736EBA">
      <w:pPr>
        <w:pStyle w:val="Numbered111"/>
      </w:pPr>
      <w:bookmarkStart w:id="107" w:name="_Toc418071346"/>
      <w:bookmarkStart w:id="108" w:name="_Toc418495359"/>
      <w:bookmarkStart w:id="109" w:name="_Toc447900603"/>
      <w:bookmarkStart w:id="110" w:name="_Toc449692993"/>
      <w:bookmarkStart w:id="111" w:name="_Toc485303351"/>
      <w:r>
        <w:t>Central Irrigation Trust (CIT), S</w:t>
      </w:r>
      <w:r w:rsidR="004178A1">
        <w:t xml:space="preserve">outh </w:t>
      </w:r>
      <w:r>
        <w:t>A</w:t>
      </w:r>
      <w:r w:rsidR="004178A1">
        <w:t>ustralian</w:t>
      </w:r>
      <w:r>
        <w:t xml:space="preserve"> Murray</w:t>
      </w:r>
      <w:bookmarkEnd w:id="107"/>
      <w:bookmarkEnd w:id="108"/>
      <w:bookmarkEnd w:id="109"/>
      <w:bookmarkEnd w:id="110"/>
      <w:bookmarkEnd w:id="111"/>
    </w:p>
    <w:p w:rsidR="00E21A5D" w:rsidRPr="00392DCF" w:rsidRDefault="00E21A5D" w:rsidP="003F1051">
      <w:pPr>
        <w:pStyle w:val="Heading4"/>
        <w:keepNext/>
      </w:pPr>
      <w:bookmarkStart w:id="112" w:name="_Toc418071347"/>
      <w:r w:rsidRPr="006A7748">
        <w:t>Off-river IO hypothetical bill</w:t>
      </w:r>
    </w:p>
    <w:p w:rsidR="00D4614F" w:rsidRDefault="00D4614F" w:rsidP="00897AA5">
      <w:r>
        <w:t xml:space="preserve">CIT </w:t>
      </w:r>
      <w:r w:rsidR="008B7137">
        <w:t>customers receive water from piped</w:t>
      </w:r>
      <w:r w:rsidR="007678F4">
        <w:t>/pressurised</w:t>
      </w:r>
      <w:r w:rsidR="008B7137">
        <w:t xml:space="preserve"> networks only. </w:t>
      </w:r>
    </w:p>
    <w:bookmarkEnd w:id="112"/>
    <w:p w:rsidR="00897AA5" w:rsidRDefault="00897AA5" w:rsidP="00897AA5">
      <w:r>
        <w:lastRenderedPageBreak/>
        <w:t xml:space="preserve">The analysis </w:t>
      </w:r>
      <w:r w:rsidR="0080592C">
        <w:t xml:space="preserve">is for </w:t>
      </w:r>
      <w:r w:rsidR="008B7137">
        <w:t>three hypothetical bills</w:t>
      </w:r>
      <w:r w:rsidR="007678F4">
        <w:t>,</w:t>
      </w:r>
      <w:r w:rsidR="00D4614F">
        <w:t xml:space="preserve"> calculated </w:t>
      </w:r>
      <w:r w:rsidR="008B7137">
        <w:t>for an irrigator</w:t>
      </w:r>
      <w:r w:rsidR="002411D8">
        <w:t xml:space="preserve"> located in one of the CIT districts other than Golden Heights or Sunlands</w:t>
      </w:r>
      <w:r w:rsidR="002411D8">
        <w:rPr>
          <w:rStyle w:val="FootnoteReference"/>
        </w:rPr>
        <w:footnoteReference w:id="44"/>
      </w:r>
      <w:r w:rsidR="008B7137">
        <w:t xml:space="preserve"> receiving</w:t>
      </w:r>
      <w:r w:rsidR="007678F4">
        <w:t xml:space="preserve"> a</w:t>
      </w:r>
      <w:r w:rsidR="008B7137">
        <w:t>:</w:t>
      </w:r>
    </w:p>
    <w:p w:rsidR="00897AA5" w:rsidRPr="0028058E" w:rsidRDefault="00897AA5" w:rsidP="00DA47C0">
      <w:pPr>
        <w:pStyle w:val="Bulletpoint"/>
      </w:pPr>
      <w:r w:rsidRPr="0028058E">
        <w:t>high pressure service</w:t>
      </w:r>
    </w:p>
    <w:p w:rsidR="00897AA5" w:rsidRPr="0028058E" w:rsidRDefault="00897AA5" w:rsidP="00DA47C0">
      <w:pPr>
        <w:pStyle w:val="Bulletpoint"/>
      </w:pPr>
      <w:r w:rsidRPr="0028058E">
        <w:t>medium pressure service</w:t>
      </w:r>
      <w:r w:rsidR="007678F4" w:rsidRPr="0028058E">
        <w:t>,</w:t>
      </w:r>
      <w:r w:rsidRPr="0028058E">
        <w:t xml:space="preserve"> or</w:t>
      </w:r>
    </w:p>
    <w:p w:rsidR="00897AA5" w:rsidRPr="0028058E" w:rsidRDefault="00897AA5" w:rsidP="00DA47C0">
      <w:pPr>
        <w:pStyle w:val="Bulletpoint"/>
      </w:pPr>
      <w:r w:rsidRPr="0028058E">
        <w:t>low pressure service.</w:t>
      </w:r>
      <w:r w:rsidR="00582A0C" w:rsidRPr="0028058E">
        <w:rPr>
          <w:rStyle w:val="FootnoteReference"/>
        </w:rPr>
        <w:footnoteReference w:id="45"/>
      </w:r>
      <w:r w:rsidRPr="0028058E">
        <w:t xml:space="preserve"> </w:t>
      </w:r>
    </w:p>
    <w:p w:rsidR="00897AA5" w:rsidRDefault="00897AA5" w:rsidP="00897AA5">
      <w:r>
        <w:t xml:space="preserve">Further, each </w:t>
      </w:r>
      <w:r w:rsidR="0080592C">
        <w:t>hypothetical bill assumes that the i</w:t>
      </w:r>
      <w:r>
        <w:t>rrigator:</w:t>
      </w:r>
    </w:p>
    <w:p w:rsidR="00897AA5" w:rsidRDefault="00897AA5" w:rsidP="00DA47C0">
      <w:pPr>
        <w:pStyle w:val="Bulletpoint"/>
      </w:pPr>
      <w:r>
        <w:t xml:space="preserve">holds a specific </w:t>
      </w:r>
      <w:r w:rsidR="007678F4">
        <w:t>volume</w:t>
      </w:r>
      <w:r>
        <w:t xml:space="preserve"> of </w:t>
      </w:r>
      <w:r w:rsidR="007678F4">
        <w:t>irrigation right</w:t>
      </w:r>
      <w:r w:rsidR="00FE2704">
        <w:t xml:space="preserve"> </w:t>
      </w:r>
      <w:r>
        <w:t xml:space="preserve"> (50 ML, 250 ML or 1000 ML)</w:t>
      </w:r>
    </w:p>
    <w:p w:rsidR="00897AA5" w:rsidRDefault="00897AA5" w:rsidP="00DA47C0">
      <w:pPr>
        <w:pStyle w:val="Bulletpoint"/>
      </w:pPr>
      <w:r>
        <w:t>holds an equivalent amount of water delivery right (50 ML, 250 ML or 1000 ML, respectively)</w:t>
      </w:r>
    </w:p>
    <w:p w:rsidR="00897AA5" w:rsidRDefault="00897AA5" w:rsidP="00DA47C0">
      <w:pPr>
        <w:pStyle w:val="Bulletpoint"/>
      </w:pPr>
      <w:r>
        <w:t>has an irrigation connection on the property—meaning no drainage charge applies (as this charge is only levied on customers that do not have an irrigation connection) and</w:t>
      </w:r>
    </w:p>
    <w:p w:rsidR="00897AA5" w:rsidRDefault="00897AA5" w:rsidP="00DA47C0">
      <w:pPr>
        <w:pStyle w:val="Bulletpoint"/>
      </w:pPr>
      <w:r>
        <w:t>is supplied with irrigation water at a proportion of 65 per cent at off-peak times and 35 per cent at peak times.</w:t>
      </w:r>
    </w:p>
    <w:p w:rsidR="00897AA5" w:rsidRDefault="00897AA5" w:rsidP="00897AA5">
      <w:r>
        <w:t xml:space="preserve">The </w:t>
      </w:r>
      <w:r w:rsidR="001C3657">
        <w:t>2015−16</w:t>
      </w:r>
      <w:r w:rsidR="00D4614F">
        <w:t xml:space="preserve"> </w:t>
      </w:r>
      <w:r>
        <w:t xml:space="preserve">hypothetical bill analysis includes the following </w:t>
      </w:r>
      <w:r w:rsidR="00C447B7">
        <w:t xml:space="preserve">three </w:t>
      </w:r>
      <w:r w:rsidR="00D34D5C">
        <w:t>charges for each of the</w:t>
      </w:r>
      <w:r>
        <w:t xml:space="preserve"> </w:t>
      </w:r>
      <w:r w:rsidR="0028058E">
        <w:t>three types of service</w:t>
      </w:r>
      <w:r w:rsidR="009B1EF9">
        <w:t>s</w:t>
      </w:r>
      <w:r w:rsidR="0028058E">
        <w:t xml:space="preserve"> selected from </w:t>
      </w:r>
      <w:r>
        <w:t>CIT’s schedule of charges</w:t>
      </w:r>
      <w:r w:rsidR="009B1EF9">
        <w:t>:</w:t>
      </w:r>
      <w:r>
        <w:t xml:space="preserve"> </w:t>
      </w:r>
    </w:p>
    <w:p w:rsidR="00897AA5" w:rsidRDefault="00897AA5" w:rsidP="00897AA5">
      <w:r>
        <w:t>Fixed:</w:t>
      </w:r>
    </w:p>
    <w:p w:rsidR="00897AA5" w:rsidRDefault="00897AA5" w:rsidP="00DA47C0">
      <w:pPr>
        <w:pStyle w:val="Bulletpoint"/>
      </w:pPr>
      <w:r>
        <w:t>Irrigation service charge</w:t>
      </w:r>
      <w:r w:rsidR="00B4193D">
        <w:t xml:space="preserve"> (levied per ML of water delivery right held)</w:t>
      </w:r>
    </w:p>
    <w:p w:rsidR="00897AA5" w:rsidRDefault="00897AA5" w:rsidP="00DA47C0">
      <w:pPr>
        <w:pStyle w:val="Bulletpoint"/>
      </w:pPr>
      <w:r>
        <w:t xml:space="preserve">Natural Resource Management </w:t>
      </w:r>
      <w:r w:rsidR="00F51B7A">
        <w:t>W</w:t>
      </w:r>
      <w:r w:rsidR="00D4614F">
        <w:t xml:space="preserve">ater </w:t>
      </w:r>
      <w:r>
        <w:t xml:space="preserve">levy </w:t>
      </w:r>
      <w:r w:rsidR="00B4193D">
        <w:t>(levied per ML of irrigation right held)</w:t>
      </w:r>
    </w:p>
    <w:p w:rsidR="00897AA5" w:rsidRDefault="00897AA5" w:rsidP="00897AA5">
      <w:r>
        <w:t>Variable:</w:t>
      </w:r>
    </w:p>
    <w:p w:rsidR="00897AA5" w:rsidRDefault="00897AA5" w:rsidP="00DA47C0">
      <w:pPr>
        <w:pStyle w:val="Bulletpoint"/>
      </w:pPr>
      <w:r>
        <w:t xml:space="preserve">Water consumption charge (peak), high, medium and low pressure depending on the </w:t>
      </w:r>
      <w:r w:rsidR="00F51B7A">
        <w:t>service</w:t>
      </w:r>
      <w:r w:rsidR="00B4193D">
        <w:t xml:space="preserve"> (levied per ML of water delivered in peak period)</w:t>
      </w:r>
      <w:r w:rsidR="00F51B7A">
        <w:t>.</w:t>
      </w:r>
    </w:p>
    <w:p w:rsidR="00897AA5" w:rsidRDefault="00897AA5" w:rsidP="00DA47C0">
      <w:pPr>
        <w:pStyle w:val="Bulletpoint"/>
      </w:pPr>
      <w:r>
        <w:t>Water consumption charge (off-peak), high, medium and low pressure depending on the network</w:t>
      </w:r>
      <w:r w:rsidR="00B4193D">
        <w:t xml:space="preserve"> (levied per ML of water delivered in off-peak period)</w:t>
      </w:r>
      <w:r>
        <w:t>.</w:t>
      </w:r>
    </w:p>
    <w:p w:rsidR="00897AA5" w:rsidRDefault="009B1EF9" w:rsidP="00897AA5">
      <w:r>
        <w:t xml:space="preserve">Given that </w:t>
      </w:r>
      <w:r w:rsidR="00897AA5">
        <w:t>CIT</w:t>
      </w:r>
      <w:r>
        <w:t>’s</w:t>
      </w:r>
      <w:r w:rsidR="00897AA5">
        <w:t xml:space="preserve"> schedule</w:t>
      </w:r>
      <w:r w:rsidR="00B60EF8">
        <w:t xml:space="preserve"> </w:t>
      </w:r>
      <w:r w:rsidR="00897AA5">
        <w:t>of charges com</w:t>
      </w:r>
      <w:r>
        <w:t>e</w:t>
      </w:r>
      <w:r w:rsidR="00B60EF8">
        <w:t>s</w:t>
      </w:r>
      <w:r w:rsidR="00897AA5">
        <w:t xml:space="preserve"> into effect on 1 October each year</w:t>
      </w:r>
      <w:r>
        <w:t>, this analysis uses a weighted average of the 2014−15 and 2015−16 schedules of charges</w:t>
      </w:r>
      <w:r w:rsidR="00897AA5">
        <w:t xml:space="preserve">. </w:t>
      </w:r>
    </w:p>
    <w:p w:rsidR="00897AA5" w:rsidRDefault="0080592C" w:rsidP="00897AA5">
      <w:r>
        <w:t>T</w:t>
      </w:r>
      <w:r w:rsidR="00897AA5">
        <w:t xml:space="preserve">he Natural Resource Management </w:t>
      </w:r>
      <w:r w:rsidR="00F51B7A">
        <w:t>W</w:t>
      </w:r>
      <w:r w:rsidR="00A801F8">
        <w:t xml:space="preserve">ater </w:t>
      </w:r>
      <w:r w:rsidR="00897AA5">
        <w:t xml:space="preserve">levy </w:t>
      </w:r>
      <w:r>
        <w:t>is a</w:t>
      </w:r>
      <w:r w:rsidR="00897AA5">
        <w:t xml:space="preserve"> WPM charge. CIT’s irrigation customers do not pay any on-river infrastructure charges as there is no on-river IO in SA.</w:t>
      </w:r>
    </w:p>
    <w:p w:rsidR="00897AA5" w:rsidRDefault="00897AA5" w:rsidP="00897AA5">
      <w:pPr>
        <w:pStyle w:val="Heading4"/>
        <w:keepNext/>
      </w:pPr>
      <w:bookmarkStart w:id="113" w:name="_Toc418071348"/>
      <w:r>
        <w:t>Hypothetical termination fee</w:t>
      </w:r>
      <w:bookmarkEnd w:id="113"/>
    </w:p>
    <w:p w:rsidR="00897AA5" w:rsidRDefault="00897AA5" w:rsidP="00897AA5">
      <w:r w:rsidRPr="007B609D">
        <w:t>CIT report</w:t>
      </w:r>
      <w:r w:rsidR="009E075C">
        <w:t>s</w:t>
      </w:r>
      <w:r w:rsidRPr="007B609D">
        <w:t xml:space="preserve"> on </w:t>
      </w:r>
      <w:r w:rsidR="008A458F">
        <w:t xml:space="preserve">its </w:t>
      </w:r>
      <w:r>
        <w:t>schedule of charges a GST</w:t>
      </w:r>
      <w:r w:rsidR="00582A0C">
        <w:t>-</w:t>
      </w:r>
      <w:r w:rsidRPr="007B609D">
        <w:t xml:space="preserve">exclusive termination fee which is the same across their high, medium and low pressure </w:t>
      </w:r>
      <w:r w:rsidR="002411D8">
        <w:t>service</w:t>
      </w:r>
      <w:r w:rsidR="002411D8" w:rsidRPr="007B609D">
        <w:t>s</w:t>
      </w:r>
      <w:r w:rsidRPr="007B609D">
        <w:t xml:space="preserve">. This </w:t>
      </w:r>
      <w:r>
        <w:t xml:space="preserve">listed </w:t>
      </w:r>
      <w:r w:rsidRPr="007B609D">
        <w:t>termination fee is used in the hypothetical termination fee analysis.</w:t>
      </w:r>
    </w:p>
    <w:p w:rsidR="00897AA5" w:rsidRDefault="001C3657" w:rsidP="00897AA5">
      <w:pPr>
        <w:pStyle w:val="Heading4"/>
        <w:keepNext/>
      </w:pPr>
      <w:bookmarkStart w:id="114" w:name="_Toc418071350"/>
      <w:bookmarkStart w:id="115" w:name="_Toc418495360"/>
      <w:r>
        <w:t>2015−16</w:t>
      </w:r>
      <w:r w:rsidR="00897AA5">
        <w:t xml:space="preserve"> Schedule of charges</w:t>
      </w:r>
    </w:p>
    <w:p w:rsidR="00897AA5" w:rsidRDefault="00897AA5" w:rsidP="00897AA5">
      <w:r>
        <w:t>CIT provided the schedule</w:t>
      </w:r>
      <w:r w:rsidR="00A801F8">
        <w:t>s</w:t>
      </w:r>
      <w:r>
        <w:t xml:space="preserve"> of charges below to the ACCC as part of its </w:t>
      </w:r>
      <w:r w:rsidR="00704713">
        <w:t xml:space="preserve">response to the ACCC’s </w:t>
      </w:r>
      <w:r>
        <w:t xml:space="preserve">request for information. The ACCC had sourced previous versions from CIT’s </w:t>
      </w:r>
      <w:r>
        <w:lastRenderedPageBreak/>
        <w:t>website</w:t>
      </w:r>
      <w:r w:rsidR="0051686D">
        <w:t>:</w:t>
      </w:r>
      <w:r>
        <w:t xml:space="preserve"> </w:t>
      </w:r>
      <w:hyperlink r:id="rId57" w:history="1">
        <w:r w:rsidRPr="00C20DBD">
          <w:rPr>
            <w:rStyle w:val="Hyperlink"/>
          </w:rPr>
          <w:t>http://cit.org.au/</w:t>
        </w:r>
      </w:hyperlink>
      <w:r>
        <w:t xml:space="preserve">. </w:t>
      </w:r>
      <w:r w:rsidR="001254B3">
        <w:t xml:space="preserve">One schedule applied </w:t>
      </w:r>
      <w:r w:rsidR="00BB6182">
        <w:t xml:space="preserve">(relevantly) </w:t>
      </w:r>
      <w:r w:rsidR="001254B3">
        <w:t>fr</w:t>
      </w:r>
      <w:r w:rsidR="00BB6182">
        <w:t>om</w:t>
      </w:r>
      <w:r w:rsidR="001254B3">
        <w:t xml:space="preserve"> </w:t>
      </w:r>
      <w:r w:rsidR="00BB6182">
        <w:t xml:space="preserve">1 July </w:t>
      </w:r>
      <w:r w:rsidR="001254B3">
        <w:t xml:space="preserve">2015 until 30 September 2015 and a second from 1 October 2015 for the rest of the </w:t>
      </w:r>
      <w:r w:rsidR="00635ED6">
        <w:t xml:space="preserve">financial </w:t>
      </w:r>
      <w:r w:rsidR="001254B3">
        <w:t xml:space="preserve">year. The hypothetical bills are based on a weighted average of charges, with a weighting of 25% for the first schedule and 75% for the second. </w:t>
      </w:r>
    </w:p>
    <w:p w:rsidR="00331AED" w:rsidRDefault="00890929" w:rsidP="00A63D8E">
      <w:pPr>
        <w:pStyle w:val="Tabletitle"/>
        <w:keepNext/>
      </w:pPr>
      <w:r>
        <w:lastRenderedPageBreak/>
        <w:t xml:space="preserve">CIT schedule </w:t>
      </w:r>
      <w:r w:rsidR="00282DF7">
        <w:t xml:space="preserve">of charges </w:t>
      </w:r>
      <w:r w:rsidR="00111651">
        <w:t>–</w:t>
      </w:r>
      <w:r w:rsidR="00AB60D0">
        <w:t xml:space="preserve"> </w:t>
      </w:r>
      <w:r w:rsidR="00111651">
        <w:t xml:space="preserve">Applicable from  </w:t>
      </w:r>
      <w:r w:rsidR="00331AED">
        <w:t>1 October 2014</w:t>
      </w:r>
      <w:r w:rsidR="00AB60D0">
        <w:t xml:space="preserve"> to 30 September 2015</w:t>
      </w:r>
    </w:p>
    <w:p w:rsidR="00AB60D0" w:rsidRDefault="00331AED" w:rsidP="00A63D8E">
      <w:pPr>
        <w:keepNext/>
      </w:pPr>
      <w:r>
        <w:rPr>
          <w:noProof/>
          <w:lang w:eastAsia="en-AU"/>
        </w:rPr>
        <w:drawing>
          <wp:inline distT="0" distB="0" distL="0" distR="0" wp14:anchorId="40A8C389" wp14:editId="25622B93">
            <wp:extent cx="5719313" cy="5943600"/>
            <wp:effectExtent l="0" t="0" r="0" b="0"/>
            <wp:docPr id="7" name="Picture 6" descr="Schedule of Charges of Central Irrigation Trust used by the ACCC to prepare hypothetical bills for the 2015-16 water year. Relevantly, this schedule of charges covers the period 1 July 2015 to 30 September 2015." title="Central Irrigation Trust Schedule of Charges, 2015-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0374" cy="5944703"/>
                    </a:xfrm>
                    <a:prstGeom prst="rect">
                      <a:avLst/>
                    </a:prstGeom>
                    <a:noFill/>
                    <a:extLst/>
                  </pic:spPr>
                </pic:pic>
              </a:graphicData>
            </a:graphic>
          </wp:inline>
        </w:drawing>
      </w:r>
      <w:bookmarkStart w:id="116" w:name="_Toc447900604"/>
      <w:bookmarkStart w:id="117" w:name="_Toc449692994"/>
      <w:r w:rsidR="00D26AEC">
        <w:rPr>
          <w:noProof/>
          <w:lang w:eastAsia="en-AU"/>
        </w:rPr>
        <w:drawing>
          <wp:inline distT="0" distB="0" distL="0" distR="0" wp14:anchorId="422E60D9" wp14:editId="08463263">
            <wp:extent cx="5736565" cy="1923690"/>
            <wp:effectExtent l="0" t="0" r="0" b="635"/>
            <wp:docPr id="105" name="Picture 5" descr="Schedule of Charges of Central Irrigation Trust used by the ACCC to prepare hypothetical bills for the 2015-16 water year. Relevantly, this schedule of charges covers the period 1 July 2015 to 30 September 2015." title="Central Irrigation Trust Schedule of Charges, 2015-16,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9"/>
                    <a:stretch>
                      <a:fillRect/>
                    </a:stretch>
                  </pic:blipFill>
                  <pic:spPr>
                    <a:xfrm>
                      <a:off x="0" y="0"/>
                      <a:ext cx="5731510" cy="1921995"/>
                    </a:xfrm>
                    <a:prstGeom prst="rect">
                      <a:avLst/>
                    </a:prstGeom>
                  </pic:spPr>
                </pic:pic>
              </a:graphicData>
            </a:graphic>
          </wp:inline>
        </w:drawing>
      </w:r>
      <w:r w:rsidR="00AB60D0">
        <w:br w:type="page"/>
      </w:r>
    </w:p>
    <w:p w:rsidR="00AB60D0" w:rsidRDefault="00890929" w:rsidP="00A63D8E">
      <w:pPr>
        <w:pStyle w:val="Tabletitle"/>
        <w:keepNext/>
      </w:pPr>
      <w:r w:rsidRPr="00DE6E2E">
        <w:lastRenderedPageBreak/>
        <w:t xml:space="preserve">CIT schedule </w:t>
      </w:r>
      <w:r w:rsidR="00282DF7">
        <w:t xml:space="preserve">of charges </w:t>
      </w:r>
      <w:r w:rsidR="00111651">
        <w:t>–</w:t>
      </w:r>
      <w:r w:rsidR="00AB60D0">
        <w:t xml:space="preserve"> </w:t>
      </w:r>
      <w:r w:rsidR="00111651">
        <w:t>Applicable from</w:t>
      </w:r>
      <w:r w:rsidR="00111651" w:rsidRPr="00DE6E2E">
        <w:t xml:space="preserve"> </w:t>
      </w:r>
      <w:r w:rsidR="00331AED" w:rsidRPr="00DE6E2E">
        <w:t>1 October 2015</w:t>
      </w:r>
    </w:p>
    <w:p w:rsidR="00AB60D0" w:rsidRDefault="00AB60D0" w:rsidP="00AB60D0">
      <w:pPr>
        <w:pStyle w:val="Tabletitle"/>
        <w:keepNext/>
      </w:pPr>
      <w:r>
        <w:rPr>
          <w:noProof/>
          <w:lang w:eastAsia="en-AU"/>
        </w:rPr>
        <w:drawing>
          <wp:inline distT="0" distB="0" distL="0" distR="0" wp14:anchorId="0807B35F" wp14:editId="2A78E7DB">
            <wp:extent cx="5727727" cy="8005313"/>
            <wp:effectExtent l="0" t="0" r="635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727" cy="8005313"/>
                    </a:xfrm>
                    <a:prstGeom prst="rect">
                      <a:avLst/>
                    </a:prstGeom>
                    <a:noFill/>
                    <a:extLst/>
                  </pic:spPr>
                </pic:pic>
              </a:graphicData>
            </a:graphic>
          </wp:inline>
        </w:drawing>
      </w:r>
    </w:p>
    <w:p w:rsidR="00AB60D0" w:rsidRDefault="00AB60D0" w:rsidP="00891FF3">
      <w:r>
        <w:br w:type="page"/>
      </w:r>
    </w:p>
    <w:p w:rsidR="00897AA5" w:rsidRDefault="00897AA5" w:rsidP="00736EBA">
      <w:pPr>
        <w:pStyle w:val="Numbered111"/>
      </w:pPr>
      <w:bookmarkStart w:id="118" w:name="_Toc485303352"/>
      <w:r>
        <w:lastRenderedPageBreak/>
        <w:t>Renmark Irrigation Trust (RIT), S</w:t>
      </w:r>
      <w:r w:rsidR="004178A1">
        <w:t xml:space="preserve">outh </w:t>
      </w:r>
      <w:r>
        <w:t>A</w:t>
      </w:r>
      <w:r w:rsidR="004178A1">
        <w:t>ustralian</w:t>
      </w:r>
      <w:r>
        <w:t xml:space="preserve"> Murray</w:t>
      </w:r>
      <w:bookmarkEnd w:id="114"/>
      <w:bookmarkEnd w:id="115"/>
      <w:bookmarkEnd w:id="116"/>
      <w:bookmarkEnd w:id="117"/>
      <w:bookmarkEnd w:id="118"/>
    </w:p>
    <w:p w:rsidR="00897AA5" w:rsidRDefault="00897AA5" w:rsidP="00897AA5">
      <w:pPr>
        <w:pStyle w:val="Heading4"/>
        <w:keepNext/>
      </w:pPr>
      <w:bookmarkStart w:id="119" w:name="_Toc418071351"/>
      <w:r>
        <w:t>Off-river IO hypothetical bill</w:t>
      </w:r>
    </w:p>
    <w:bookmarkEnd w:id="119"/>
    <w:p w:rsidR="00897AA5" w:rsidRDefault="00897AA5" w:rsidP="00897AA5">
      <w:r>
        <w:t>The analysis assumes one irrigator in RIT’s network who:</w:t>
      </w:r>
    </w:p>
    <w:p w:rsidR="00897AA5" w:rsidRDefault="00897AA5" w:rsidP="00DA47C0">
      <w:pPr>
        <w:pStyle w:val="Bulletpoint"/>
      </w:pPr>
      <w:r>
        <w:t>holds a specific volume of irrigation right (50 ML, 250 ML or 1000 ML)</w:t>
      </w:r>
    </w:p>
    <w:p w:rsidR="00897AA5" w:rsidRDefault="00897AA5" w:rsidP="00DA47C0">
      <w:pPr>
        <w:pStyle w:val="Bulletpoint"/>
      </w:pPr>
      <w:r>
        <w:t>has an equivalent farm size—5.38 ha, 26.94 ha or 107.76 ha, respectively for each of the volumes of irrigation right above</w:t>
      </w:r>
      <w:r w:rsidR="00330ADF">
        <w:t>,</w:t>
      </w:r>
      <w:r>
        <w:t xml:space="preserve"> and</w:t>
      </w:r>
    </w:p>
    <w:p w:rsidR="00897AA5" w:rsidRDefault="00897AA5" w:rsidP="00DA47C0">
      <w:pPr>
        <w:pStyle w:val="Bulletpoint"/>
      </w:pPr>
      <w:r>
        <w:t>has one irrigation connection on its farm (as such, drainage charges do not apply).</w:t>
      </w:r>
    </w:p>
    <w:p w:rsidR="00897AA5" w:rsidRDefault="00897AA5" w:rsidP="00897AA5">
      <w:r>
        <w:t xml:space="preserve">The analysis applies the conversion of irrigation right to an equivalent farm size because Renmark levies its access charge based on farm size in hectares. The conversion rule is 9.28 ML </w:t>
      </w:r>
      <w:r w:rsidR="008C4957">
        <w:t>per</w:t>
      </w:r>
      <w:r>
        <w:t xml:space="preserve"> hectare.</w:t>
      </w:r>
      <w:r>
        <w:rPr>
          <w:rStyle w:val="FootnoteReference"/>
        </w:rPr>
        <w:footnoteReference w:id="46"/>
      </w:r>
      <w:r>
        <w:t xml:space="preserve"> </w:t>
      </w:r>
    </w:p>
    <w:p w:rsidR="00897AA5" w:rsidRDefault="00897AA5" w:rsidP="00897AA5">
      <w:r>
        <w:t xml:space="preserve">The </w:t>
      </w:r>
      <w:r w:rsidR="001C3657">
        <w:t>2015−16</w:t>
      </w:r>
      <w:r w:rsidR="004523EC">
        <w:t xml:space="preserve"> </w:t>
      </w:r>
      <w:r>
        <w:t xml:space="preserve">hypothetical bill analysis includes the following charges listed on RIT’s schedule of charges.  </w:t>
      </w:r>
    </w:p>
    <w:p w:rsidR="00897AA5" w:rsidRDefault="00897AA5" w:rsidP="00897AA5">
      <w:r>
        <w:t xml:space="preserve">Fixed: </w:t>
      </w:r>
    </w:p>
    <w:p w:rsidR="00897AA5" w:rsidRDefault="00897AA5" w:rsidP="00DA47C0">
      <w:pPr>
        <w:pStyle w:val="Bulletpoint"/>
      </w:pPr>
      <w:r>
        <w:t>Irrigation access charge</w:t>
      </w:r>
      <w:r>
        <w:rPr>
          <w:rStyle w:val="FootnoteReference"/>
        </w:rPr>
        <w:footnoteReference w:id="47"/>
      </w:r>
      <w:r>
        <w:t xml:space="preserve"> </w:t>
      </w:r>
      <w:r w:rsidR="00B4193D">
        <w:t>(levied per rated hectare per half year)</w:t>
      </w:r>
    </w:p>
    <w:p w:rsidR="00897AA5" w:rsidRDefault="00897AA5" w:rsidP="00DA47C0">
      <w:pPr>
        <w:pStyle w:val="Bulletpoint"/>
      </w:pPr>
      <w:r>
        <w:t>NRM levy</w:t>
      </w:r>
      <w:r w:rsidR="00A52DAF">
        <w:t xml:space="preserve"> (i.e</w:t>
      </w:r>
      <w:r w:rsidR="00845B8E">
        <w:t>.</w:t>
      </w:r>
      <w:r w:rsidR="00A52DAF">
        <w:t xml:space="preserve"> the NRM </w:t>
      </w:r>
      <w:r w:rsidR="00105C41">
        <w:t>W</w:t>
      </w:r>
      <w:r w:rsidR="00A52DAF">
        <w:t>ater levy)</w:t>
      </w:r>
      <w:r w:rsidR="00B4193D">
        <w:t xml:space="preserve"> (levied per ML of ‘entitlement’ (irrigation right) held)</w:t>
      </w:r>
    </w:p>
    <w:p w:rsidR="00897AA5" w:rsidRDefault="00897AA5" w:rsidP="00897AA5">
      <w:r>
        <w:t>Variable:</w:t>
      </w:r>
    </w:p>
    <w:p w:rsidR="00897AA5" w:rsidRDefault="00897AA5" w:rsidP="00DA47C0">
      <w:pPr>
        <w:pStyle w:val="Bulletpoint"/>
      </w:pPr>
      <w:r>
        <w:t>Water delivery charge</w:t>
      </w:r>
      <w:r>
        <w:rPr>
          <w:rStyle w:val="FootnoteReference"/>
        </w:rPr>
        <w:footnoteReference w:id="48"/>
      </w:r>
      <w:r>
        <w:t xml:space="preserve"> </w:t>
      </w:r>
      <w:r w:rsidR="00B4193D">
        <w:t>(levied per KL of water delivered)</w:t>
      </w:r>
    </w:p>
    <w:p w:rsidR="00897AA5" w:rsidRDefault="004523EC" w:rsidP="00897AA5">
      <w:r>
        <w:t>T</w:t>
      </w:r>
      <w:r w:rsidR="00897AA5">
        <w:t xml:space="preserve">he Natural Resource Management </w:t>
      </w:r>
      <w:r w:rsidR="00105C41">
        <w:t>W</w:t>
      </w:r>
      <w:r w:rsidR="00D04F2B">
        <w:t xml:space="preserve">ater </w:t>
      </w:r>
      <w:r w:rsidR="00897AA5">
        <w:t xml:space="preserve">levy </w:t>
      </w:r>
      <w:r>
        <w:t xml:space="preserve">is a </w:t>
      </w:r>
      <w:r w:rsidR="00897AA5">
        <w:t>WPM charge. RIT irrigation customers do not pay any on-river infrastructure charges as there is no on-river IO in SA.</w:t>
      </w:r>
    </w:p>
    <w:p w:rsidR="00897AA5" w:rsidRDefault="00897AA5" w:rsidP="00897AA5">
      <w:pPr>
        <w:pStyle w:val="Heading4"/>
        <w:keepNext/>
      </w:pPr>
      <w:bookmarkStart w:id="120" w:name="_Toc418071352"/>
      <w:r>
        <w:t>Hypothetical termination fee</w:t>
      </w:r>
      <w:bookmarkEnd w:id="120"/>
    </w:p>
    <w:p w:rsidR="001004BB" w:rsidRDefault="001004BB" w:rsidP="001004BB">
      <w:r>
        <w:t>RIT report</w:t>
      </w:r>
      <w:r w:rsidR="009E075C">
        <w:t>s</w:t>
      </w:r>
      <w:r>
        <w:t xml:space="preserve"> on their schedule of charges a termination fee on a per hectare basis</w:t>
      </w:r>
      <w:r w:rsidR="00FF7505">
        <w:rPr>
          <w:rStyle w:val="FootnoteReference"/>
        </w:rPr>
        <w:footnoteReference w:id="49"/>
      </w:r>
      <w:r>
        <w:t xml:space="preserve">. The hypothetical termination fee is </w:t>
      </w:r>
      <w:r w:rsidR="00FF7505">
        <w:t xml:space="preserve">based on this termination fee, assuming a </w:t>
      </w:r>
      <w:r>
        <w:t xml:space="preserve">farm size of 26.94 rated hectares (equivalent to 250 ML of water delivery right divided by the conversion </w:t>
      </w:r>
      <w:r w:rsidR="00FF7505">
        <w:t xml:space="preserve">factor of </w:t>
      </w:r>
      <w:r>
        <w:t>9.28 ML for one hectare</w:t>
      </w:r>
      <w:r w:rsidR="00FF7505">
        <w:t xml:space="preserve">, </w:t>
      </w:r>
      <w:r w:rsidR="008C4957">
        <w:t xml:space="preserve">as </w:t>
      </w:r>
      <w:r w:rsidR="00FF7505">
        <w:t>noted above</w:t>
      </w:r>
      <w:r>
        <w:t>), with either 50 per cent or 100 per cent of this area terminated.</w:t>
      </w:r>
    </w:p>
    <w:p w:rsidR="001004BB" w:rsidRDefault="008C4957" w:rsidP="00FF7505">
      <w:r>
        <w:t xml:space="preserve">Where a customer fully terminates and no longer requires any access (for example, not even for stock or domestic water), RIT may remove the customer’s water meter and apply a separate </w:t>
      </w:r>
      <w:r w:rsidR="00FF7505">
        <w:t>meter removal (disconnection) fee</w:t>
      </w:r>
      <w:r>
        <w:t>. This fee</w:t>
      </w:r>
      <w:r w:rsidR="00FF7505">
        <w:t xml:space="preserve"> is not included in the </w:t>
      </w:r>
      <w:r w:rsidR="00126839">
        <w:t>termination fee</w:t>
      </w:r>
      <w:r w:rsidR="00FF7505">
        <w:t xml:space="preserve"> calculation.</w:t>
      </w:r>
    </w:p>
    <w:p w:rsidR="00897AA5" w:rsidRDefault="001C3657" w:rsidP="00897AA5">
      <w:pPr>
        <w:pStyle w:val="Heading4"/>
        <w:keepNext/>
      </w:pPr>
      <w:r>
        <w:t>2015−16</w:t>
      </w:r>
      <w:r w:rsidR="0006740C">
        <w:t xml:space="preserve"> </w:t>
      </w:r>
      <w:r w:rsidR="00897AA5">
        <w:t>Schedule of Charges</w:t>
      </w:r>
    </w:p>
    <w:p w:rsidR="00265363" w:rsidRDefault="00265363" w:rsidP="00265363">
      <w:r>
        <w:t xml:space="preserve">RIT provided the schedule of charges below to the ACCC as part of its response to the ACCC’s request for information. The ACCC had sourced previous versions from </w:t>
      </w:r>
      <w:r w:rsidR="008C4957">
        <w:t xml:space="preserve">RIT’s </w:t>
      </w:r>
      <w:r w:rsidR="0051686D">
        <w:t>website:</w:t>
      </w:r>
      <w:r>
        <w:t xml:space="preserve"> </w:t>
      </w:r>
      <w:hyperlink r:id="rId61" w:history="1">
        <w:r w:rsidR="00D04F2B" w:rsidRPr="006A2936">
          <w:rPr>
            <w:rStyle w:val="Hyperlink"/>
          </w:rPr>
          <w:t>http://www.rit.org.au</w:t>
        </w:r>
      </w:hyperlink>
      <w:r>
        <w:t xml:space="preserve">. </w:t>
      </w:r>
      <w:r w:rsidR="00F07BD6">
        <w:t xml:space="preserve">There is a schedule for July-December 2015 and one for January-June 2016, but the charges are the same in each. </w:t>
      </w:r>
    </w:p>
    <w:p w:rsidR="003C515E" w:rsidRDefault="003C515E" w:rsidP="00736EBA">
      <w:r>
        <w:rPr>
          <w:noProof/>
          <w:lang w:eastAsia="en-AU"/>
        </w:rPr>
        <w:lastRenderedPageBreak/>
        <w:drawing>
          <wp:inline distT="0" distB="0" distL="0" distR="0" wp14:anchorId="7B6373B4" wp14:editId="315AB49B">
            <wp:extent cx="5596890" cy="8229600"/>
            <wp:effectExtent l="0" t="0" r="3810" b="0"/>
            <wp:docPr id="27" name="Picture 1" descr="Schedule of Charges of Renmark Irrigation Trust used by the ACCC to prepare hypothetical bills for the 2015-16 water year.&#10;&#10;This schedule applied for the period 1 July 2015 to 31 December 2015." title="Renmark Irrigation Trust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2"/>
                    <a:stretch>
                      <a:fillRect/>
                    </a:stretch>
                  </pic:blipFill>
                  <pic:spPr>
                    <a:xfrm>
                      <a:off x="0" y="0"/>
                      <a:ext cx="5596890" cy="8229600"/>
                    </a:xfrm>
                    <a:prstGeom prst="rect">
                      <a:avLst/>
                    </a:prstGeom>
                  </pic:spPr>
                </pic:pic>
              </a:graphicData>
            </a:graphic>
          </wp:inline>
        </w:drawing>
      </w:r>
    </w:p>
    <w:p w:rsidR="003C515E" w:rsidRPr="003C515E" w:rsidRDefault="003C515E" w:rsidP="003C515E">
      <w:r>
        <w:rPr>
          <w:noProof/>
          <w:lang w:eastAsia="en-AU"/>
        </w:rPr>
        <w:lastRenderedPageBreak/>
        <w:drawing>
          <wp:inline distT="0" distB="0" distL="0" distR="0" wp14:anchorId="7FCF6DA7" wp14:editId="53AEAD95">
            <wp:extent cx="5731510" cy="8142099"/>
            <wp:effectExtent l="0" t="0" r="2540" b="0"/>
            <wp:docPr id="28" name="Picture 2" descr="Schedule of Charges of Renmark Irrigation Trust used by the ACCC to prepare hypothetical bills for the 2015-16 water year.&#10;&#10;This schedule applied for the period 1 January 2015 to 30 June 2016. " title="Renmark Irrigation Trust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3"/>
                    <a:stretch>
                      <a:fillRect/>
                    </a:stretch>
                  </pic:blipFill>
                  <pic:spPr>
                    <a:xfrm>
                      <a:off x="0" y="0"/>
                      <a:ext cx="5731510" cy="8142099"/>
                    </a:xfrm>
                    <a:prstGeom prst="rect">
                      <a:avLst/>
                    </a:prstGeom>
                  </pic:spPr>
                </pic:pic>
              </a:graphicData>
            </a:graphic>
          </wp:inline>
        </w:drawing>
      </w:r>
    </w:p>
    <w:p w:rsidR="00897AA5" w:rsidRDefault="00897AA5" w:rsidP="00736EBA">
      <w:pPr>
        <w:pStyle w:val="Numbered111"/>
      </w:pPr>
      <w:bookmarkStart w:id="121" w:name="_Toc485303353"/>
      <w:r>
        <w:lastRenderedPageBreak/>
        <w:t>Goulburn-Murray Water (GMW), Victoria</w:t>
      </w:r>
      <w:bookmarkEnd w:id="121"/>
    </w:p>
    <w:p w:rsidR="00826FF0" w:rsidRPr="00646225" w:rsidRDefault="00826FF0" w:rsidP="00826FF0">
      <w:pPr>
        <w:pStyle w:val="Heading4"/>
        <w:keepNext/>
      </w:pPr>
      <w:r w:rsidRPr="00A63D8E">
        <w:t>Off-river IO hypothetical bill</w:t>
      </w:r>
    </w:p>
    <w:p w:rsidR="00897AA5" w:rsidRDefault="00897AA5" w:rsidP="00897AA5">
      <w:r>
        <w:t xml:space="preserve">The analysis assumes nine irrigators, </w:t>
      </w:r>
      <w:r w:rsidR="00FB5E1E">
        <w:t xml:space="preserve">one in each </w:t>
      </w:r>
      <w:r w:rsidR="00903981">
        <w:t xml:space="preserve">of </w:t>
      </w:r>
      <w:r w:rsidR="00207A16">
        <w:t>GMW</w:t>
      </w:r>
      <w:r w:rsidR="00903981">
        <w:t>’s</w:t>
      </w:r>
      <w:r w:rsidR="008D576E">
        <w:t xml:space="preserve"> off-river</w:t>
      </w:r>
      <w:r w:rsidR="00207A16">
        <w:t xml:space="preserve"> </w:t>
      </w:r>
      <w:r>
        <w:t>network</w:t>
      </w:r>
      <w:r w:rsidR="00903981">
        <w:t>s</w:t>
      </w:r>
      <w:r>
        <w:t>.</w:t>
      </w:r>
      <w:r w:rsidR="00207A16">
        <w:t xml:space="preserve"> Three of the</w:t>
      </w:r>
      <w:r w:rsidR="00903981">
        <w:t>se</w:t>
      </w:r>
      <w:r w:rsidR="007A5B02">
        <w:t xml:space="preserve"> networks </w:t>
      </w:r>
      <w:r w:rsidR="00207A16">
        <w:t>are pressurised and six are unpressurised.</w:t>
      </w:r>
      <w:r>
        <w:t xml:space="preserve"> </w:t>
      </w:r>
    </w:p>
    <w:p w:rsidR="00897AA5" w:rsidRDefault="00897AA5" w:rsidP="00897AA5">
      <w:r>
        <w:t>The three pressurised networks are:</w:t>
      </w:r>
    </w:p>
    <w:p w:rsidR="00897AA5" w:rsidRDefault="00897AA5" w:rsidP="00DA47C0">
      <w:pPr>
        <w:pStyle w:val="Bulletpoint"/>
      </w:pPr>
      <w:r>
        <w:t>Nyah</w:t>
      </w:r>
    </w:p>
    <w:p w:rsidR="00897AA5" w:rsidRDefault="00897AA5" w:rsidP="00DA47C0">
      <w:pPr>
        <w:pStyle w:val="Bulletpoint"/>
      </w:pPr>
      <w:r>
        <w:t>Woorinen</w:t>
      </w:r>
    </w:p>
    <w:p w:rsidR="00897AA5" w:rsidRDefault="00897AA5" w:rsidP="00DA47C0">
      <w:pPr>
        <w:pStyle w:val="Bulletpoint"/>
      </w:pPr>
      <w:r>
        <w:t>Tresco</w:t>
      </w:r>
    </w:p>
    <w:p w:rsidR="00897AA5" w:rsidRDefault="00897AA5" w:rsidP="00897AA5">
      <w:r>
        <w:t>The six gravity-fed networks are:</w:t>
      </w:r>
    </w:p>
    <w:p w:rsidR="00897AA5" w:rsidRDefault="00897AA5" w:rsidP="00DA47C0">
      <w:pPr>
        <w:pStyle w:val="Bulletpoint"/>
      </w:pPr>
      <w:r>
        <w:t>Loddon Valley</w:t>
      </w:r>
      <w:r>
        <w:rPr>
          <w:rStyle w:val="FootnoteReference"/>
        </w:rPr>
        <w:footnoteReference w:id="50"/>
      </w:r>
      <w:r>
        <w:t xml:space="preserve"> </w:t>
      </w:r>
    </w:p>
    <w:p w:rsidR="00897AA5" w:rsidRDefault="00897AA5" w:rsidP="00DA47C0">
      <w:pPr>
        <w:pStyle w:val="Bulletpoint"/>
      </w:pPr>
      <w:r>
        <w:t>Rochester</w:t>
      </w:r>
    </w:p>
    <w:p w:rsidR="00897AA5" w:rsidRDefault="00897AA5" w:rsidP="00DA47C0">
      <w:pPr>
        <w:pStyle w:val="Bulletpoint"/>
      </w:pPr>
      <w:r>
        <w:t>Central Goulburn</w:t>
      </w:r>
    </w:p>
    <w:p w:rsidR="00897AA5" w:rsidRDefault="00897AA5" w:rsidP="00DA47C0">
      <w:pPr>
        <w:pStyle w:val="Bulletpoint"/>
      </w:pPr>
      <w:r>
        <w:t>Shepparton</w:t>
      </w:r>
    </w:p>
    <w:p w:rsidR="00897AA5" w:rsidRDefault="00897AA5" w:rsidP="00DA47C0">
      <w:pPr>
        <w:pStyle w:val="Bulletpoint"/>
      </w:pPr>
      <w:r>
        <w:t>Torrumbarry</w:t>
      </w:r>
    </w:p>
    <w:p w:rsidR="00897AA5" w:rsidRDefault="00897AA5" w:rsidP="00DA47C0">
      <w:pPr>
        <w:pStyle w:val="Bulletpoint"/>
      </w:pPr>
      <w:r>
        <w:t>Murray Valley</w:t>
      </w:r>
    </w:p>
    <w:p w:rsidR="00897AA5" w:rsidRDefault="00897AA5" w:rsidP="00897AA5">
      <w:r>
        <w:t xml:space="preserve">The analysis assumes that each irrigator in </w:t>
      </w:r>
      <w:r w:rsidR="00A52DAF">
        <w:t xml:space="preserve">any of </w:t>
      </w:r>
      <w:r>
        <w:t xml:space="preserve">the pressurised and gravity-fed networks: </w:t>
      </w:r>
    </w:p>
    <w:p w:rsidR="00897AA5" w:rsidRDefault="00897AA5" w:rsidP="00DA47C0">
      <w:pPr>
        <w:pStyle w:val="Bulletpoint"/>
      </w:pPr>
      <w:r>
        <w:t>holds 50 ML, 250 ML or 1000 ML of high reliability water share</w:t>
      </w:r>
      <w:r w:rsidR="00330ADF">
        <w:t>,</w:t>
      </w:r>
      <w:r>
        <w:t xml:space="preserve"> and </w:t>
      </w:r>
    </w:p>
    <w:p w:rsidR="00897AA5" w:rsidRDefault="00897AA5" w:rsidP="00DA47C0">
      <w:pPr>
        <w:pStyle w:val="Bulletpoint"/>
      </w:pPr>
      <w:r>
        <w:t>holds a volume of water delivery shares (in ML/day) equal to 1/100 of the water share volume (0.5 ML/day, 2.5 ML/day or 10 ML/day).</w:t>
      </w:r>
    </w:p>
    <w:p w:rsidR="00897AA5" w:rsidRDefault="00897AA5" w:rsidP="00897AA5">
      <w:r>
        <w:t xml:space="preserve">The </w:t>
      </w:r>
      <w:r w:rsidR="001C3657">
        <w:t>2015−16</w:t>
      </w:r>
      <w:r w:rsidR="00207A16">
        <w:t xml:space="preserve"> </w:t>
      </w:r>
      <w:r>
        <w:t>hypothetical bill analysis includes the following charges for all GMW networks:</w:t>
      </w:r>
    </w:p>
    <w:p w:rsidR="00897AA5" w:rsidRDefault="00897AA5" w:rsidP="00602DBF">
      <w:r>
        <w:t>Fixed:</w:t>
      </w:r>
    </w:p>
    <w:p w:rsidR="00897AA5" w:rsidRDefault="00897AA5" w:rsidP="00DA47C0">
      <w:pPr>
        <w:pStyle w:val="Bulletpoint"/>
      </w:pPr>
      <w:r>
        <w:t>High reliability water share entitlement storage fee</w:t>
      </w:r>
      <w:r w:rsidR="00B4193D">
        <w:t xml:space="preserve"> (levied per ML of HR water share held)</w:t>
      </w:r>
    </w:p>
    <w:p w:rsidR="00897AA5" w:rsidRDefault="00897AA5" w:rsidP="00DA47C0">
      <w:pPr>
        <w:pStyle w:val="Bulletpoint"/>
      </w:pPr>
      <w:r>
        <w:t>Service</w:t>
      </w:r>
      <w:r w:rsidR="00B4193D">
        <w:t xml:space="preserve"> (levied per account held)</w:t>
      </w:r>
    </w:p>
    <w:p w:rsidR="00897AA5" w:rsidRDefault="00897AA5" w:rsidP="00DA47C0">
      <w:pPr>
        <w:pStyle w:val="Bulletpoint"/>
      </w:pPr>
      <w:r>
        <w:t>Infrastructure access</w:t>
      </w:r>
      <w:r w:rsidR="00B4193D">
        <w:t xml:space="preserve"> (levied per delivery share held)</w:t>
      </w:r>
    </w:p>
    <w:p w:rsidR="00897AA5" w:rsidRDefault="00897AA5" w:rsidP="00DA47C0">
      <w:pPr>
        <w:pStyle w:val="Bulletpoint"/>
      </w:pPr>
      <w:r>
        <w:t>Service point (irrigation) (payable by gravity-fed networks only</w:t>
      </w:r>
      <w:r w:rsidR="00B4193D">
        <w:t>, levied per service point</w:t>
      </w:r>
      <w:r>
        <w:t>)</w:t>
      </w:r>
      <w:r w:rsidR="00395F89">
        <w:t>—‘Local Read’ fee for 50 ML hypothetical bill; ‘Remote read and operate’ fee for 250 ML and 1000 ML hypothetical bills</w:t>
      </w:r>
    </w:p>
    <w:p w:rsidR="00897AA5" w:rsidRDefault="00897AA5" w:rsidP="00DA47C0">
      <w:pPr>
        <w:pStyle w:val="Bulletpoint"/>
      </w:pPr>
      <w:r>
        <w:t>Additional service point (payable by pressurised networks only</w:t>
      </w:r>
      <w:r w:rsidR="00B4193D">
        <w:t>, levied per additional service point</w:t>
      </w:r>
      <w:r>
        <w:t>)</w:t>
      </w:r>
    </w:p>
    <w:p w:rsidR="00395F89" w:rsidRDefault="00395F89" w:rsidP="00DA47C0">
      <w:pPr>
        <w:pStyle w:val="Bulletpoint"/>
      </w:pPr>
      <w:r>
        <w:t>Drainage charges (see below)</w:t>
      </w:r>
    </w:p>
    <w:p w:rsidR="00897AA5" w:rsidRDefault="00897AA5" w:rsidP="00081B94">
      <w:r>
        <w:t>Variable:</w:t>
      </w:r>
    </w:p>
    <w:p w:rsidR="00897AA5" w:rsidRDefault="00897AA5" w:rsidP="00DA47C0">
      <w:pPr>
        <w:pStyle w:val="Bulletpoint"/>
      </w:pPr>
      <w:r>
        <w:t>Infrastructure use</w:t>
      </w:r>
      <w:r w:rsidR="00B4193D">
        <w:t xml:space="preserve"> (levied per ML of water delivered)</w:t>
      </w:r>
    </w:p>
    <w:p w:rsidR="00897AA5" w:rsidRDefault="00897AA5" w:rsidP="00897AA5">
      <w:r>
        <w:t xml:space="preserve">The high reliability water share entitlement storage fee is the on-river infrastructure charge passed on to customers located off-river. GMW’s off-river customers do not pay a specific WPM charge. However, </w:t>
      </w:r>
      <w:r w:rsidR="00207A16">
        <w:t>two per cent</w:t>
      </w:r>
      <w:r>
        <w:t xml:space="preserve"> of GMW’s total revenue collected from off-river </w:t>
      </w:r>
      <w:r>
        <w:lastRenderedPageBreak/>
        <w:t xml:space="preserve">infrastructure charges imposed on customers is used to recover costs associated with the Victorian Environmental Contribution (see section 2 above </w:t>
      </w:r>
      <w:r w:rsidR="005D0074">
        <w:t>and</w:t>
      </w:r>
      <w:r>
        <w:t xml:space="preserve"> chapter 3 of the </w:t>
      </w:r>
      <w:r w:rsidR="00395F89">
        <w:t>main report</w:t>
      </w:r>
      <w:r>
        <w:t xml:space="preserve"> for more information on the Environmental Contribution).</w:t>
      </w:r>
    </w:p>
    <w:p w:rsidR="00395F89" w:rsidRPr="00395F89" w:rsidRDefault="00395F89" w:rsidP="0003775E">
      <w:pPr>
        <w:pStyle w:val="Heading5"/>
      </w:pPr>
      <w:r w:rsidRPr="00395F89">
        <w:t>Drainage charges</w:t>
      </w:r>
    </w:p>
    <w:p w:rsidR="001B3499" w:rsidRPr="00A63D8E" w:rsidRDefault="00897AA5" w:rsidP="00081B94">
      <w:r>
        <w:t xml:space="preserve">The </w:t>
      </w:r>
      <w:r w:rsidR="001C3657">
        <w:t>2015−16</w:t>
      </w:r>
      <w:r>
        <w:t xml:space="preserve"> </w:t>
      </w:r>
      <w:r w:rsidRPr="001B3499">
        <w:t xml:space="preserve">analysis assumes drainage charges are also levied on customers in all networks. </w:t>
      </w:r>
    </w:p>
    <w:p w:rsidR="00897AA5" w:rsidRPr="001B3499" w:rsidRDefault="00897AA5" w:rsidP="00081B94">
      <w:r w:rsidRPr="001B3499">
        <w:t>The analysis assumes an irrigator in a pressurised network:</w:t>
      </w:r>
    </w:p>
    <w:p w:rsidR="00897AA5" w:rsidRDefault="00897AA5" w:rsidP="00DA47C0">
      <w:pPr>
        <w:pStyle w:val="Bulletpoint"/>
      </w:pPr>
      <w:r>
        <w:t>has one property</w:t>
      </w:r>
      <w:r w:rsidR="007D617F">
        <w:t>,</w:t>
      </w:r>
      <w:r>
        <w:t xml:space="preserve"> and</w:t>
      </w:r>
    </w:p>
    <w:p w:rsidR="00897AA5" w:rsidRDefault="00897AA5" w:rsidP="00DA47C0">
      <w:pPr>
        <w:pStyle w:val="Bulletpoint"/>
      </w:pPr>
      <w:r>
        <w:t>drainage water use is consistent with the water access entitlement</w:t>
      </w:r>
      <w:r w:rsidR="00395F89">
        <w:t xml:space="preserve"> (‘water share’)</w:t>
      </w:r>
      <w:r>
        <w:t>.</w:t>
      </w:r>
    </w:p>
    <w:p w:rsidR="00897AA5" w:rsidRDefault="00897AA5" w:rsidP="00081B94">
      <w:r>
        <w:t xml:space="preserve">The </w:t>
      </w:r>
      <w:r w:rsidR="001C3657">
        <w:t>2015−16</w:t>
      </w:r>
      <w:r w:rsidR="00392A99">
        <w:t xml:space="preserve"> </w:t>
      </w:r>
      <w:r>
        <w:t>hypothetical bill analysis includes the following drainage charges for pressurised networks:</w:t>
      </w:r>
    </w:p>
    <w:p w:rsidR="00897AA5" w:rsidRDefault="00897AA5" w:rsidP="00DA47C0">
      <w:pPr>
        <w:pStyle w:val="Bulletpoint"/>
      </w:pPr>
      <w:r>
        <w:t>Nyah:</w:t>
      </w:r>
      <w:r>
        <w:tab/>
      </w:r>
    </w:p>
    <w:p w:rsidR="00897AA5" w:rsidRPr="00DA1499" w:rsidRDefault="00897AA5" w:rsidP="00F90601">
      <w:pPr>
        <w:pStyle w:val="Bulletpoint2"/>
      </w:pPr>
      <w:r w:rsidRPr="00DA1499">
        <w:t xml:space="preserve">Subsurface drainage service fee </w:t>
      </w:r>
      <w:r w:rsidR="00B4193D">
        <w:t xml:space="preserve">(levied per </w:t>
      </w:r>
      <w:r w:rsidR="00A0375C">
        <w:t>account</w:t>
      </w:r>
      <w:r w:rsidR="00B4193D">
        <w:t>)</w:t>
      </w:r>
    </w:p>
    <w:p w:rsidR="00897AA5" w:rsidRPr="00DA1499" w:rsidRDefault="00897AA5" w:rsidP="00F90601">
      <w:pPr>
        <w:pStyle w:val="Bulletpoint2"/>
      </w:pPr>
      <w:r w:rsidRPr="00DA1499">
        <w:t>Subsurface drainage water use</w:t>
      </w:r>
      <w:r w:rsidR="00A0375C">
        <w:t xml:space="preserve"> (levied per ML</w:t>
      </w:r>
      <w:r w:rsidR="0003775E" w:rsidRPr="0003775E">
        <w:t xml:space="preserve"> </w:t>
      </w:r>
      <w:r w:rsidR="0003775E">
        <w:t>of water delivered</w:t>
      </w:r>
      <w:r w:rsidR="00A0375C">
        <w:t>)</w:t>
      </w:r>
    </w:p>
    <w:p w:rsidR="00897AA5" w:rsidRDefault="00897AA5" w:rsidP="00DA47C0">
      <w:pPr>
        <w:pStyle w:val="Bulletpoint"/>
      </w:pPr>
      <w:r>
        <w:t>Woorinen</w:t>
      </w:r>
      <w:r>
        <w:tab/>
      </w:r>
    </w:p>
    <w:p w:rsidR="00897AA5" w:rsidRPr="00DA1499" w:rsidRDefault="00897AA5" w:rsidP="00F90601">
      <w:pPr>
        <w:pStyle w:val="Bulletpoint2"/>
      </w:pPr>
      <w:r w:rsidRPr="00DA1499">
        <w:t>Subsurface drainage service fee</w:t>
      </w:r>
      <w:r w:rsidR="00A0375C">
        <w:t xml:space="preserve"> (levied per account)</w:t>
      </w:r>
    </w:p>
    <w:p w:rsidR="00897AA5" w:rsidRPr="00DA1499" w:rsidRDefault="00897AA5" w:rsidP="00F90601">
      <w:pPr>
        <w:pStyle w:val="Bulletpoint2"/>
      </w:pPr>
      <w:r w:rsidRPr="00DA1499">
        <w:t>Subsurface drainage area fee</w:t>
      </w:r>
      <w:r w:rsidR="00A0375C">
        <w:t xml:space="preserve"> (levied per hectare)</w:t>
      </w:r>
    </w:p>
    <w:p w:rsidR="00897AA5" w:rsidRPr="00DA1499" w:rsidRDefault="00897AA5" w:rsidP="00F90601">
      <w:pPr>
        <w:pStyle w:val="Bulletpoint2"/>
      </w:pPr>
      <w:r w:rsidRPr="00DA1499">
        <w:t>Subsurface drainage water use</w:t>
      </w:r>
      <w:r w:rsidR="00A0375C">
        <w:t xml:space="preserve"> (levied per ML</w:t>
      </w:r>
      <w:r w:rsidR="0003775E" w:rsidRPr="0003775E">
        <w:t xml:space="preserve"> </w:t>
      </w:r>
      <w:r w:rsidR="0003775E">
        <w:t>of water delivered</w:t>
      </w:r>
      <w:r w:rsidR="00A0375C">
        <w:t>)</w:t>
      </w:r>
    </w:p>
    <w:p w:rsidR="00897AA5" w:rsidRDefault="00897AA5" w:rsidP="00DA47C0">
      <w:pPr>
        <w:pStyle w:val="Bulletpoint"/>
      </w:pPr>
      <w:r>
        <w:t>Tresco</w:t>
      </w:r>
      <w:r>
        <w:tab/>
      </w:r>
    </w:p>
    <w:p w:rsidR="00897AA5" w:rsidRPr="00DA1499" w:rsidRDefault="00897AA5" w:rsidP="00F90601">
      <w:pPr>
        <w:pStyle w:val="Bulletpoint2"/>
      </w:pPr>
      <w:r w:rsidRPr="00DA1499">
        <w:t>Subsurface drainage fee</w:t>
      </w:r>
      <w:r w:rsidR="00A0375C">
        <w:t xml:space="preserve"> (levied per ML</w:t>
      </w:r>
      <w:r w:rsidR="0003775E" w:rsidRPr="0003775E">
        <w:t xml:space="preserve"> </w:t>
      </w:r>
      <w:r w:rsidR="0003775E">
        <w:t>of water delivered</w:t>
      </w:r>
      <w:r w:rsidR="00A0375C">
        <w:t>)</w:t>
      </w:r>
    </w:p>
    <w:p w:rsidR="00897AA5" w:rsidRDefault="00A0375C" w:rsidP="00897AA5">
      <w:r>
        <w:t>As noted above, t</w:t>
      </w:r>
      <w:r w:rsidR="00897AA5">
        <w:t xml:space="preserve">he subsurface drainage area fee is </w:t>
      </w:r>
      <w:r>
        <w:t xml:space="preserve">only levied in the Woorinen network, and is </w:t>
      </w:r>
      <w:r w:rsidR="00344083">
        <w:t xml:space="preserve">levied </w:t>
      </w:r>
      <w:r w:rsidR="00897AA5">
        <w:t xml:space="preserve">per hectare. </w:t>
      </w:r>
      <w:r>
        <w:t>Using information provided by GMW in 2013−14, t</w:t>
      </w:r>
      <w:r w:rsidR="00897AA5">
        <w:t xml:space="preserve">he ACCC has </w:t>
      </w:r>
      <w:r>
        <w:t xml:space="preserve">assumed </w:t>
      </w:r>
      <w:r w:rsidR="00897AA5">
        <w:t xml:space="preserve">a hectare to ML </w:t>
      </w:r>
      <w:r>
        <w:t xml:space="preserve">conversion </w:t>
      </w:r>
      <w:r w:rsidR="00897AA5">
        <w:t xml:space="preserve">ratio </w:t>
      </w:r>
      <w:r>
        <w:t>of 0.155 hectares to 1 ML</w:t>
      </w:r>
      <w:r w:rsidDel="00A0375C">
        <w:t xml:space="preserve"> </w:t>
      </w:r>
      <w:r w:rsidR="00395F89">
        <w:t>which was</w:t>
      </w:r>
      <w:r w:rsidR="00897AA5">
        <w:t>.</w:t>
      </w:r>
      <w:r w:rsidR="00897AA5">
        <w:rPr>
          <w:rStyle w:val="FootnoteReference"/>
        </w:rPr>
        <w:footnoteReference w:id="51"/>
      </w:r>
      <w:r w:rsidR="00897AA5">
        <w:t xml:space="preserve"> </w:t>
      </w:r>
    </w:p>
    <w:p w:rsidR="00897AA5" w:rsidRDefault="00897AA5" w:rsidP="00897AA5">
      <w:r>
        <w:t xml:space="preserve">The </w:t>
      </w:r>
      <w:r w:rsidR="001C3657">
        <w:t>2015−16</w:t>
      </w:r>
      <w:r>
        <w:t xml:space="preserve"> hypothetical bill analysis includes the following drainage charges for gravity</w:t>
      </w:r>
      <w:r w:rsidR="00395F89">
        <w:noBreakHyphen/>
      </w:r>
      <w:r>
        <w:t>fed networks:</w:t>
      </w:r>
    </w:p>
    <w:p w:rsidR="00897AA5" w:rsidRPr="00344083" w:rsidRDefault="00897AA5" w:rsidP="00DA47C0">
      <w:pPr>
        <w:pStyle w:val="Bulletpoint"/>
      </w:pPr>
      <w:r w:rsidRPr="00344083">
        <w:t>surface drainage service fee</w:t>
      </w:r>
      <w:r w:rsidR="00E45A52" w:rsidRPr="00344083">
        <w:t xml:space="preserve"> (</w:t>
      </w:r>
      <w:r w:rsidR="00A0375C" w:rsidRPr="00344083">
        <w:t>levied</w:t>
      </w:r>
      <w:r w:rsidR="00E45A52" w:rsidRPr="00344083">
        <w:t xml:space="preserve"> per </w:t>
      </w:r>
      <w:r w:rsidR="00A0375C" w:rsidRPr="00344083">
        <w:t>account</w:t>
      </w:r>
      <w:r w:rsidR="00E45A52" w:rsidRPr="00344083">
        <w:t>)</w:t>
      </w:r>
    </w:p>
    <w:p w:rsidR="00897AA5" w:rsidRPr="00344083" w:rsidRDefault="00897AA5" w:rsidP="00DA47C0">
      <w:pPr>
        <w:pStyle w:val="Bulletpoint"/>
      </w:pPr>
      <w:r w:rsidRPr="00344083">
        <w:t xml:space="preserve">surface drainage area fee </w:t>
      </w:r>
      <w:r w:rsidR="00E45A52" w:rsidRPr="00344083">
        <w:t>(</w:t>
      </w:r>
      <w:r w:rsidR="00A0375C" w:rsidRPr="00344083">
        <w:t xml:space="preserve">levied </w:t>
      </w:r>
      <w:r w:rsidR="00E45A52" w:rsidRPr="00344083">
        <w:t>per h</w:t>
      </w:r>
      <w:r w:rsidR="00A0375C" w:rsidRPr="00344083">
        <w:t>ectare</w:t>
      </w:r>
      <w:r w:rsidR="00E45A52" w:rsidRPr="00344083">
        <w:t xml:space="preserve">) </w:t>
      </w:r>
    </w:p>
    <w:p w:rsidR="00897AA5" w:rsidRDefault="00897AA5" w:rsidP="00DA47C0">
      <w:pPr>
        <w:pStyle w:val="Bulletpoint"/>
      </w:pPr>
      <w:r w:rsidRPr="00344083">
        <w:t>surface</w:t>
      </w:r>
      <w:r>
        <w:t xml:space="preserve"> drainage water use fee</w:t>
      </w:r>
      <w:r w:rsidR="00E45A52">
        <w:t xml:space="preserve"> (</w:t>
      </w:r>
      <w:r w:rsidR="00A0375C">
        <w:t>levied</w:t>
      </w:r>
      <w:r w:rsidR="00E45A52">
        <w:t xml:space="preserve"> per ML</w:t>
      </w:r>
      <w:r w:rsidR="00A0375C">
        <w:t xml:space="preserve"> of water </w:t>
      </w:r>
      <w:r w:rsidR="0003775E">
        <w:t>delivered</w:t>
      </w:r>
      <w:r w:rsidR="00E45A52">
        <w:t>)</w:t>
      </w:r>
    </w:p>
    <w:p w:rsidR="00897AA5" w:rsidRDefault="00897AA5" w:rsidP="00646225">
      <w:r>
        <w:t>Similar to pressurised networks, the ACCC calculated a hectare to ML ratio for irrigators in a gravity-fed network for the surface drainage area fee. The hectare to ML ratio assumed for each gravity-fed network for the drainage area fee is provided in the table below.</w:t>
      </w:r>
    </w:p>
    <w:p w:rsidR="00A92837" w:rsidRDefault="00A92837">
      <w:pPr>
        <w:rPr>
          <w:b/>
          <w:szCs w:val="20"/>
        </w:rPr>
      </w:pPr>
      <w:r>
        <w:br w:type="page"/>
      </w:r>
    </w:p>
    <w:p w:rsidR="00646225" w:rsidRDefault="00395F89" w:rsidP="00B60EF8">
      <w:pPr>
        <w:pStyle w:val="Tabletitle"/>
        <w:keepNext/>
      </w:pPr>
      <w:r>
        <w:lastRenderedPageBreak/>
        <w:t>Table</w:t>
      </w:r>
      <w:r w:rsidR="00C12952">
        <w:t xml:space="preserve"> 1</w:t>
      </w:r>
      <w:r>
        <w:t>: GMW Conversion ratios for surface drainage area fees in gravity-fed networks</w:t>
      </w:r>
    </w:p>
    <w:tbl>
      <w:tblPr>
        <w:tblStyle w:val="MediumGrid3"/>
        <w:tblW w:w="0" w:type="auto"/>
        <w:tblLook w:val="0420" w:firstRow="1" w:lastRow="0" w:firstColumn="0" w:lastColumn="0" w:noHBand="0" w:noVBand="1"/>
      </w:tblPr>
      <w:tblGrid>
        <w:gridCol w:w="4621"/>
        <w:gridCol w:w="4621"/>
      </w:tblGrid>
      <w:tr w:rsidR="00897AA5" w:rsidRPr="00E56356" w:rsidTr="008A507A">
        <w:trPr>
          <w:cnfStyle w:val="100000000000" w:firstRow="1" w:lastRow="0" w:firstColumn="0" w:lastColumn="0" w:oddVBand="0" w:evenVBand="0" w:oddHBand="0" w:evenHBand="0" w:firstRowFirstColumn="0" w:firstRowLastColumn="0" w:lastRowFirstColumn="0" w:lastRowLastColumn="0"/>
        </w:trPr>
        <w:tc>
          <w:tcPr>
            <w:tcW w:w="4621" w:type="dxa"/>
          </w:tcPr>
          <w:p w:rsidR="00897AA5" w:rsidRPr="008A507A" w:rsidRDefault="00897AA5" w:rsidP="00B60EF8">
            <w:pPr>
              <w:pStyle w:val="Tabletext"/>
              <w:keepNext/>
            </w:pPr>
            <w:r w:rsidRPr="008A507A">
              <w:t>Gravity-fed network</w:t>
            </w:r>
          </w:p>
        </w:tc>
        <w:tc>
          <w:tcPr>
            <w:tcW w:w="4621" w:type="dxa"/>
          </w:tcPr>
          <w:p w:rsidR="00897AA5" w:rsidRPr="008A507A" w:rsidRDefault="00897AA5" w:rsidP="00B60EF8">
            <w:pPr>
              <w:pStyle w:val="Tabletext"/>
              <w:keepNext/>
            </w:pPr>
            <w:r w:rsidRPr="008A507A">
              <w:t>Hectare to ML ratio</w:t>
            </w:r>
          </w:p>
        </w:tc>
      </w:tr>
      <w:tr w:rsidR="00897AA5" w:rsidRPr="00E56356" w:rsidTr="008A507A">
        <w:tc>
          <w:tcPr>
            <w:tcW w:w="4621" w:type="dxa"/>
          </w:tcPr>
          <w:p w:rsidR="00897AA5" w:rsidRPr="00991BAA" w:rsidRDefault="00897AA5" w:rsidP="00897AA5">
            <w:pPr>
              <w:pStyle w:val="Tabletext"/>
            </w:pPr>
            <w:r w:rsidRPr="00991BAA">
              <w:t>Loddon Valley</w:t>
            </w:r>
          </w:p>
        </w:tc>
        <w:tc>
          <w:tcPr>
            <w:tcW w:w="4621" w:type="dxa"/>
          </w:tcPr>
          <w:p w:rsidR="00897AA5" w:rsidRPr="00863195" w:rsidRDefault="00897AA5" w:rsidP="00863195">
            <w:pPr>
              <w:pStyle w:val="Tabletext"/>
            </w:pPr>
            <w:r w:rsidRPr="00863195">
              <w:t>0.5 ha to 1 ML</w:t>
            </w:r>
          </w:p>
        </w:tc>
      </w:tr>
      <w:tr w:rsidR="00897AA5" w:rsidRPr="00E56356" w:rsidTr="008A507A">
        <w:tc>
          <w:tcPr>
            <w:tcW w:w="4621" w:type="dxa"/>
          </w:tcPr>
          <w:p w:rsidR="00897AA5" w:rsidRPr="00991BAA" w:rsidRDefault="00897AA5" w:rsidP="00897AA5">
            <w:pPr>
              <w:pStyle w:val="Tabletext"/>
            </w:pPr>
            <w:r w:rsidRPr="00991BAA">
              <w:t>Rochester</w:t>
            </w:r>
          </w:p>
        </w:tc>
        <w:tc>
          <w:tcPr>
            <w:tcW w:w="4621" w:type="dxa"/>
          </w:tcPr>
          <w:p w:rsidR="00897AA5" w:rsidRPr="00863195" w:rsidRDefault="00897AA5" w:rsidP="00863195">
            <w:pPr>
              <w:pStyle w:val="Tabletext"/>
            </w:pPr>
            <w:r w:rsidRPr="00863195">
              <w:t>0.2 ha to 1 ML</w:t>
            </w:r>
          </w:p>
        </w:tc>
      </w:tr>
      <w:tr w:rsidR="00897AA5" w:rsidRPr="00E56356" w:rsidTr="008A507A">
        <w:tc>
          <w:tcPr>
            <w:tcW w:w="4621" w:type="dxa"/>
          </w:tcPr>
          <w:p w:rsidR="00897AA5" w:rsidRPr="00991BAA" w:rsidRDefault="00897AA5" w:rsidP="00897AA5">
            <w:pPr>
              <w:pStyle w:val="Tabletext"/>
            </w:pPr>
            <w:r w:rsidRPr="00991BAA">
              <w:t>Central Goulburn</w:t>
            </w:r>
          </w:p>
        </w:tc>
        <w:tc>
          <w:tcPr>
            <w:tcW w:w="4621" w:type="dxa"/>
          </w:tcPr>
          <w:p w:rsidR="00897AA5" w:rsidRPr="00863195" w:rsidRDefault="00897AA5" w:rsidP="00863195">
            <w:pPr>
              <w:pStyle w:val="Tabletext"/>
            </w:pPr>
            <w:r w:rsidRPr="00863195">
              <w:t>0.275 ha to 1 ML</w:t>
            </w:r>
          </w:p>
        </w:tc>
      </w:tr>
      <w:tr w:rsidR="00897AA5" w:rsidRPr="00E56356" w:rsidTr="008A507A">
        <w:tc>
          <w:tcPr>
            <w:tcW w:w="4621" w:type="dxa"/>
          </w:tcPr>
          <w:p w:rsidR="00897AA5" w:rsidRPr="00E56356" w:rsidRDefault="00897AA5" w:rsidP="00897AA5">
            <w:pPr>
              <w:pStyle w:val="Tabletext"/>
            </w:pPr>
            <w:r w:rsidRPr="00E56356">
              <w:t>Shepparton</w:t>
            </w:r>
          </w:p>
        </w:tc>
        <w:tc>
          <w:tcPr>
            <w:tcW w:w="4621" w:type="dxa"/>
          </w:tcPr>
          <w:p w:rsidR="00897AA5" w:rsidRPr="00863195" w:rsidRDefault="00897AA5" w:rsidP="00863195">
            <w:pPr>
              <w:pStyle w:val="Tabletext"/>
            </w:pPr>
            <w:r w:rsidRPr="00863195">
              <w:t>0.354 ha to 1 ML</w:t>
            </w:r>
          </w:p>
        </w:tc>
      </w:tr>
      <w:tr w:rsidR="00897AA5" w:rsidRPr="00E56356" w:rsidTr="008A507A">
        <w:tc>
          <w:tcPr>
            <w:tcW w:w="4621" w:type="dxa"/>
          </w:tcPr>
          <w:p w:rsidR="00897AA5" w:rsidRPr="00E56356" w:rsidRDefault="00897AA5" w:rsidP="00897AA5">
            <w:pPr>
              <w:pStyle w:val="Tabletext"/>
            </w:pPr>
            <w:r w:rsidRPr="00E56356">
              <w:t>Torrumbarry</w:t>
            </w:r>
          </w:p>
        </w:tc>
        <w:tc>
          <w:tcPr>
            <w:tcW w:w="4621" w:type="dxa"/>
          </w:tcPr>
          <w:p w:rsidR="00897AA5" w:rsidRPr="00863195" w:rsidRDefault="00897AA5" w:rsidP="00863195">
            <w:pPr>
              <w:pStyle w:val="Tabletext"/>
            </w:pPr>
            <w:r w:rsidRPr="00863195">
              <w:t>0.419 ha to 1 ML</w:t>
            </w:r>
          </w:p>
        </w:tc>
      </w:tr>
      <w:tr w:rsidR="00897AA5" w:rsidRPr="00E56356" w:rsidTr="008A507A">
        <w:tc>
          <w:tcPr>
            <w:tcW w:w="4621" w:type="dxa"/>
          </w:tcPr>
          <w:p w:rsidR="00897AA5" w:rsidRPr="00E56356" w:rsidRDefault="00897AA5" w:rsidP="00897AA5">
            <w:pPr>
              <w:pStyle w:val="Tabletext"/>
            </w:pPr>
            <w:r w:rsidRPr="00E56356">
              <w:t>Murray Valley</w:t>
            </w:r>
          </w:p>
        </w:tc>
        <w:tc>
          <w:tcPr>
            <w:tcW w:w="4621" w:type="dxa"/>
          </w:tcPr>
          <w:p w:rsidR="00897AA5" w:rsidRPr="00863195" w:rsidRDefault="00897AA5" w:rsidP="00863195">
            <w:pPr>
              <w:pStyle w:val="Tabletext"/>
            </w:pPr>
            <w:r w:rsidRPr="00863195">
              <w:t>0.208 ha to 1 ML</w:t>
            </w:r>
          </w:p>
        </w:tc>
      </w:tr>
    </w:tbl>
    <w:p w:rsidR="00406034" w:rsidRDefault="00406034" w:rsidP="00406034">
      <w:bookmarkStart w:id="122" w:name="_Toc418071355"/>
      <w:r>
        <w:t xml:space="preserve">GMW’s schedule of charges includes a range of other surface and subsurface drainage fees. Based on information provided by GMW, the ACCC has determined that these fees would not be levied on the ‘typical’ irrigator, as they apply </w:t>
      </w:r>
      <w:r w:rsidR="004F54F6">
        <w:t xml:space="preserve">only </w:t>
      </w:r>
      <w:r>
        <w:t>in specific circumstances, and have thus been excluded from the hypothetical bill analysis.</w:t>
      </w:r>
    </w:p>
    <w:p w:rsidR="00897AA5" w:rsidRDefault="00897AA5" w:rsidP="00A63D8E">
      <w:pPr>
        <w:pStyle w:val="Heading4"/>
        <w:keepNext/>
      </w:pPr>
      <w:r>
        <w:t>Hypothetical termination fees</w:t>
      </w:r>
      <w:bookmarkEnd w:id="122"/>
    </w:p>
    <w:p w:rsidR="005C115D" w:rsidRDefault="00897AA5" w:rsidP="00897AA5">
      <w:r w:rsidRPr="00417147">
        <w:t>The hypothetical termination fee</w:t>
      </w:r>
      <w:r>
        <w:t>s</w:t>
      </w:r>
      <w:r w:rsidRPr="00417147">
        <w:t xml:space="preserve"> are calculated assuming 2.5 ML/day of </w:t>
      </w:r>
      <w:r>
        <w:t xml:space="preserve">water </w:t>
      </w:r>
      <w:r w:rsidRPr="00417147">
        <w:t xml:space="preserve">delivery share is held, with either 50 or 100 per cent of this volume terminated. </w:t>
      </w:r>
      <w:r w:rsidR="005C115D" w:rsidRPr="00417147">
        <w:t xml:space="preserve">The </w:t>
      </w:r>
      <w:r w:rsidR="005C115D">
        <w:t xml:space="preserve">hypothetical termination fee used in the ACCC’s </w:t>
      </w:r>
      <w:r w:rsidR="001C3657">
        <w:t>2015−16</w:t>
      </w:r>
      <w:r w:rsidR="005C115D">
        <w:t xml:space="preserve"> water monitoring report is </w:t>
      </w:r>
      <w:r w:rsidR="006D3624">
        <w:t xml:space="preserve">listed on GMW’s schedule of charges and is </w:t>
      </w:r>
      <w:r w:rsidR="005C115D">
        <w:t xml:space="preserve">equivalent to 10 times the fixed </w:t>
      </w:r>
      <w:r w:rsidR="005C115D" w:rsidRPr="00417147">
        <w:t>infrastructure access fee</w:t>
      </w:r>
      <w:r w:rsidR="001F32AF">
        <w:t xml:space="preserve"> for the water delivery share held</w:t>
      </w:r>
      <w:r w:rsidR="007D5BB6">
        <w:t xml:space="preserve"> </w:t>
      </w:r>
      <w:r w:rsidR="001F32AF">
        <w:t>per day</w:t>
      </w:r>
      <w:r w:rsidR="005C115D" w:rsidRPr="00417147">
        <w:t>.</w:t>
      </w:r>
    </w:p>
    <w:p w:rsidR="00897AA5" w:rsidRDefault="001C3657" w:rsidP="00897AA5">
      <w:pPr>
        <w:pStyle w:val="Heading4"/>
        <w:keepNext/>
      </w:pPr>
      <w:r>
        <w:t>2015−16</w:t>
      </w:r>
      <w:r w:rsidR="00897AA5">
        <w:t xml:space="preserve"> Schedule of Charges</w:t>
      </w:r>
    </w:p>
    <w:p w:rsidR="00897AA5" w:rsidRDefault="00897AA5" w:rsidP="00897AA5">
      <w:r>
        <w:t xml:space="preserve">The ACCC sourced the below schedule of charges from GMW’s </w:t>
      </w:r>
      <w:r w:rsidR="0051686D">
        <w:t>website:</w:t>
      </w:r>
      <w:r>
        <w:t xml:space="preserve"> </w:t>
      </w:r>
      <w:hyperlink r:id="rId64" w:history="1">
        <w:r w:rsidR="000B7522" w:rsidRPr="006A2936">
          <w:rPr>
            <w:rStyle w:val="Hyperlink"/>
          </w:rPr>
          <w:t>http://www.g-mwater.com.au/downloads/gmw/Pricing_Table_June15.pdf</w:t>
        </w:r>
      </w:hyperlink>
      <w:r>
        <w:t xml:space="preserve">. </w:t>
      </w:r>
    </w:p>
    <w:p w:rsidR="00897AA5" w:rsidRDefault="00331AED" w:rsidP="00897AA5">
      <w:r>
        <w:rPr>
          <w:noProof/>
          <w:lang w:eastAsia="en-AU"/>
        </w:rPr>
        <w:lastRenderedPageBreak/>
        <w:drawing>
          <wp:inline distT="0" distB="0" distL="0" distR="0" wp14:anchorId="6F460804" wp14:editId="6CAE67F4">
            <wp:extent cx="5731510" cy="7746724"/>
            <wp:effectExtent l="0" t="0" r="2540" b="6985"/>
            <wp:docPr id="12" name="Picture 2" descr="Schedule of Charges of Goulburn-Murray Water used by the ACCC to prepare hypothetical bills for the 2015-16 water year." title="Goulburn-Murray Water Schedule of Charges, 2015-16,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5"/>
                    <a:stretch>
                      <a:fillRect/>
                    </a:stretch>
                  </pic:blipFill>
                  <pic:spPr>
                    <a:xfrm>
                      <a:off x="0" y="0"/>
                      <a:ext cx="5731510" cy="7746724"/>
                    </a:xfrm>
                    <a:prstGeom prst="rect">
                      <a:avLst/>
                    </a:prstGeom>
                  </pic:spPr>
                </pic:pic>
              </a:graphicData>
            </a:graphic>
          </wp:inline>
        </w:drawing>
      </w:r>
    </w:p>
    <w:p w:rsidR="007927EC" w:rsidRDefault="007927EC">
      <w:r>
        <w:br w:type="page"/>
      </w:r>
    </w:p>
    <w:p w:rsidR="00897AA5" w:rsidRDefault="00897AA5" w:rsidP="00897AA5"/>
    <w:p w:rsidR="00331AED" w:rsidRPr="00331AED" w:rsidRDefault="00331AED" w:rsidP="00331AED">
      <w:bookmarkStart w:id="123" w:name="_Toc447900606"/>
      <w:bookmarkStart w:id="124" w:name="_Toc449692996"/>
      <w:r>
        <w:rPr>
          <w:noProof/>
          <w:lang w:eastAsia="en-AU"/>
        </w:rPr>
        <w:drawing>
          <wp:inline distT="0" distB="0" distL="0" distR="0" wp14:anchorId="79D6E80F" wp14:editId="4491815C">
            <wp:extent cx="6158941" cy="5581156"/>
            <wp:effectExtent l="3175" t="0" r="0" b="0"/>
            <wp:docPr id="14" name="Picture 1" descr="Schedule of Charges of Goulburn-Murray Water used by the ACCC to prepare hypothetical bills for the 2015-16 water year.&#10;&#10;Page 2 referred to water planning and management charges and can be found at section 2.2.4." title="Goulburn-Murray Water Schedule of Charges, 2015-16,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6"/>
                    <a:stretch>
                      <a:fillRect/>
                    </a:stretch>
                  </pic:blipFill>
                  <pic:spPr>
                    <a:xfrm rot="16200000">
                      <a:off x="0" y="0"/>
                      <a:ext cx="6165691" cy="5587273"/>
                    </a:xfrm>
                    <a:prstGeom prst="rect">
                      <a:avLst/>
                    </a:prstGeom>
                  </pic:spPr>
                </pic:pic>
              </a:graphicData>
            </a:graphic>
          </wp:inline>
        </w:drawing>
      </w:r>
    </w:p>
    <w:p w:rsidR="004B216E" w:rsidRDefault="004B216E" w:rsidP="00891FF3">
      <w:r>
        <w:br w:type="page"/>
      </w:r>
    </w:p>
    <w:p w:rsidR="00897AA5" w:rsidRDefault="00897AA5" w:rsidP="00736EBA">
      <w:pPr>
        <w:pStyle w:val="Numbered111"/>
      </w:pPr>
      <w:bookmarkStart w:id="125" w:name="_Toc485303354"/>
      <w:r>
        <w:lastRenderedPageBreak/>
        <w:t>Lower Murray Water (LMW), Victoria</w:t>
      </w:r>
      <w:bookmarkEnd w:id="123"/>
      <w:bookmarkEnd w:id="124"/>
      <w:bookmarkEnd w:id="125"/>
    </w:p>
    <w:p w:rsidR="00897AA5" w:rsidRPr="00646225" w:rsidRDefault="00897AA5" w:rsidP="00A63D8E">
      <w:pPr>
        <w:pStyle w:val="Heading4"/>
        <w:keepNext/>
      </w:pPr>
      <w:bookmarkStart w:id="126" w:name="_Toc418071358"/>
      <w:r w:rsidRPr="00A63D8E">
        <w:t>Off-river IO hypothetical bill</w:t>
      </w:r>
    </w:p>
    <w:bookmarkEnd w:id="126"/>
    <w:p w:rsidR="00897AA5" w:rsidRDefault="00897AA5" w:rsidP="00897AA5">
      <w:r>
        <w:t xml:space="preserve">The analysis assumes one irrigator </w:t>
      </w:r>
      <w:r w:rsidR="00804AF9">
        <w:t xml:space="preserve">in the Robinvale pressurised network, and one </w:t>
      </w:r>
      <w:r>
        <w:t xml:space="preserve">in </w:t>
      </w:r>
      <w:r w:rsidR="00713CE8">
        <w:t xml:space="preserve">each of the following three gravity-fed </w:t>
      </w:r>
      <w:r>
        <w:t>networks</w:t>
      </w:r>
      <w:r w:rsidR="00713CE8">
        <w:t xml:space="preserve"> of LMW</w:t>
      </w:r>
      <w:r>
        <w:t xml:space="preserve">: </w:t>
      </w:r>
    </w:p>
    <w:p w:rsidR="00713CE8" w:rsidRDefault="00897AA5" w:rsidP="00DA47C0">
      <w:pPr>
        <w:pStyle w:val="Bulletpoint"/>
      </w:pPr>
      <w:r>
        <w:t>Merbein</w:t>
      </w:r>
      <w:r w:rsidR="00713CE8">
        <w:t xml:space="preserve"> </w:t>
      </w:r>
    </w:p>
    <w:p w:rsidR="00897AA5" w:rsidRDefault="00897AA5" w:rsidP="00DA47C0">
      <w:pPr>
        <w:pStyle w:val="Bulletpoint"/>
      </w:pPr>
      <w:r>
        <w:t>Red Cliffs</w:t>
      </w:r>
      <w:r w:rsidR="00713CE8">
        <w:t xml:space="preserve"> </w:t>
      </w:r>
    </w:p>
    <w:p w:rsidR="00897AA5" w:rsidRDefault="00897AA5" w:rsidP="00DA47C0">
      <w:pPr>
        <w:pStyle w:val="Bulletpoint"/>
      </w:pPr>
      <w:r>
        <w:t>First Mildura Irrigation District</w:t>
      </w:r>
      <w:r w:rsidR="00A1151D">
        <w:t xml:space="preserve"> (‘Mildura’)</w:t>
      </w:r>
      <w:r w:rsidR="00713CE8">
        <w:t>.</w:t>
      </w:r>
    </w:p>
    <w:p w:rsidR="00897AA5" w:rsidRDefault="00713CE8" w:rsidP="00804AF9">
      <w:r>
        <w:t xml:space="preserve">The analysis assumes </w:t>
      </w:r>
      <w:r w:rsidR="00897AA5">
        <w:t>that each of these four irrigators:</w:t>
      </w:r>
    </w:p>
    <w:p w:rsidR="00897AA5" w:rsidRDefault="00897AA5" w:rsidP="00DA47C0">
      <w:pPr>
        <w:pStyle w:val="Bulletpoint"/>
      </w:pPr>
      <w:r>
        <w:t>holds high reliability water share</w:t>
      </w:r>
      <w:r w:rsidR="00D50E0A">
        <w:t>s</w:t>
      </w:r>
      <w:r>
        <w:t xml:space="preserve"> </w:t>
      </w:r>
      <w:r w:rsidR="00D50E0A">
        <w:t>in the Murray Basin of 50 ML, 250  ML or 1000 ML</w:t>
      </w:r>
    </w:p>
    <w:p w:rsidR="00897AA5" w:rsidRDefault="00897AA5" w:rsidP="00DA47C0">
      <w:pPr>
        <w:pStyle w:val="Bulletpoint"/>
      </w:pPr>
      <w:r>
        <w:t xml:space="preserve">holds an equivalent number of delivery shares—respectively </w:t>
      </w:r>
      <w:r w:rsidR="00D50E0A">
        <w:t>6</w:t>
      </w:r>
      <w:r>
        <w:t>, 30 or 120 delivery shares (</w:t>
      </w:r>
      <w:r w:rsidR="00D50E0A">
        <w:t>based on 0.12 times</w:t>
      </w:r>
      <w:r>
        <w:t xml:space="preserve"> the amount of water share</w:t>
      </w:r>
      <w:r w:rsidR="00D50E0A">
        <w:t>)</w:t>
      </w:r>
    </w:p>
    <w:p w:rsidR="00897AA5" w:rsidRDefault="00897AA5" w:rsidP="00DA47C0">
      <w:pPr>
        <w:pStyle w:val="Bulletpoint"/>
      </w:pPr>
      <w:r>
        <w:t xml:space="preserve">has one </w:t>
      </w:r>
      <w:r w:rsidR="00A1151D">
        <w:t>‘</w:t>
      </w:r>
      <w:r>
        <w:t>assessment</w:t>
      </w:r>
      <w:r w:rsidR="00A1151D">
        <w:t>’</w:t>
      </w:r>
      <w:r>
        <w:t xml:space="preserve"> with LMW (meaning that the service </w:t>
      </w:r>
      <w:r w:rsidR="005B6C00">
        <w:t xml:space="preserve">charge </w:t>
      </w:r>
      <w:r>
        <w:t>is incurred once)</w:t>
      </w:r>
      <w:r w:rsidR="00804AF9">
        <w:t>,</w:t>
      </w:r>
      <w:r>
        <w:t xml:space="preserve"> and</w:t>
      </w:r>
    </w:p>
    <w:p w:rsidR="00897AA5" w:rsidRDefault="00897AA5" w:rsidP="00DA47C0">
      <w:pPr>
        <w:pStyle w:val="Bulletpoint"/>
      </w:pPr>
      <w:r>
        <w:t>is provided with a full drainage service.</w:t>
      </w:r>
    </w:p>
    <w:p w:rsidR="00713CE8" w:rsidRDefault="00897AA5" w:rsidP="00897AA5">
      <w:r>
        <w:t xml:space="preserve">The </w:t>
      </w:r>
      <w:r w:rsidR="001C3657">
        <w:t>2015−16</w:t>
      </w:r>
      <w:r w:rsidR="00E635FA">
        <w:t xml:space="preserve"> </w:t>
      </w:r>
      <w:r>
        <w:t xml:space="preserve">hypothetical bill analysis for off-river customers in </w:t>
      </w:r>
      <w:r w:rsidR="00D50E0A">
        <w:t>each network</w:t>
      </w:r>
      <w:r>
        <w:t xml:space="preserve"> includes the following charges:</w:t>
      </w:r>
      <w:r w:rsidR="00AF78EF">
        <w:t xml:space="preserve"> </w:t>
      </w:r>
    </w:p>
    <w:p w:rsidR="00897AA5" w:rsidRDefault="00897AA5" w:rsidP="00897AA5">
      <w:r>
        <w:t>Fixed:</w:t>
      </w:r>
    </w:p>
    <w:p w:rsidR="00897AA5" w:rsidRDefault="00897AA5" w:rsidP="00DA47C0">
      <w:pPr>
        <w:pStyle w:val="Bulletpoint"/>
      </w:pPr>
      <w:r>
        <w:t xml:space="preserve">service </w:t>
      </w:r>
      <w:r w:rsidR="00E635FA">
        <w:t>charge</w:t>
      </w:r>
      <w:r w:rsidR="005B6C00">
        <w:t xml:space="preserve"> (levied per ‘assessment’)</w:t>
      </w:r>
    </w:p>
    <w:p w:rsidR="00897AA5" w:rsidRDefault="00897AA5" w:rsidP="00DA47C0">
      <w:pPr>
        <w:pStyle w:val="Bulletpoint"/>
      </w:pPr>
      <w:r>
        <w:t>delivery share fee</w:t>
      </w:r>
      <w:r w:rsidR="00FA2F90">
        <w:t xml:space="preserve"> (levied per ‘delivery share’ (water delivery right) held)</w:t>
      </w:r>
    </w:p>
    <w:p w:rsidR="00897AA5" w:rsidRDefault="00897AA5" w:rsidP="00DA47C0">
      <w:pPr>
        <w:pStyle w:val="Bulletpoint"/>
      </w:pPr>
      <w:r>
        <w:t>property drainage fee</w:t>
      </w:r>
      <w:r w:rsidR="00D50E0A">
        <w:rPr>
          <w:rStyle w:val="FootnoteReference"/>
        </w:rPr>
        <w:footnoteReference w:id="52"/>
      </w:r>
      <w:r w:rsidR="00FA2F90">
        <w:t xml:space="preserve"> (levied per ‘delivery share’ (water delivery right) held)</w:t>
      </w:r>
    </w:p>
    <w:p w:rsidR="00897AA5" w:rsidRDefault="00897AA5" w:rsidP="00DA47C0">
      <w:pPr>
        <w:pStyle w:val="Bulletpoint"/>
      </w:pPr>
      <w:r>
        <w:t xml:space="preserve">entitlement storage fee </w:t>
      </w:r>
      <w:r w:rsidR="00A1151D">
        <w:t xml:space="preserve">– </w:t>
      </w:r>
      <w:r>
        <w:t>Murray Basin – high reliability</w:t>
      </w:r>
      <w:r w:rsidR="00A1151D">
        <w:t xml:space="preserve"> </w:t>
      </w:r>
      <w:r w:rsidR="00FA2F90">
        <w:t xml:space="preserve">(levied per ML of water share held – </w:t>
      </w:r>
      <w:r w:rsidR="00A1151D">
        <w:t xml:space="preserve">this is an on-river infrastructure charge imposed by GMW on LMW and passed </w:t>
      </w:r>
      <w:r w:rsidR="00FA2F90">
        <w:t>through</w:t>
      </w:r>
      <w:r w:rsidR="00A1151D">
        <w:t xml:space="preserve"> to its customers</w:t>
      </w:r>
      <w:r w:rsidR="00FA2F90">
        <w:t>)</w:t>
      </w:r>
      <w:r w:rsidR="00A1151D">
        <w:t>.</w:t>
      </w:r>
    </w:p>
    <w:p w:rsidR="00897AA5" w:rsidRDefault="00E635FA" w:rsidP="00DA47C0">
      <w:pPr>
        <w:pStyle w:val="Bulletpoint"/>
      </w:pPr>
      <w:r>
        <w:t xml:space="preserve">DELWP </w:t>
      </w:r>
      <w:r w:rsidR="00897AA5">
        <w:t>water share fee</w:t>
      </w:r>
      <w:r w:rsidR="00FA2F90">
        <w:t xml:space="preserve"> (levied per ML of water share held)</w:t>
      </w:r>
    </w:p>
    <w:p w:rsidR="00897AA5" w:rsidRDefault="00897AA5" w:rsidP="00897AA5">
      <w:r>
        <w:t>Variable:</w:t>
      </w:r>
    </w:p>
    <w:p w:rsidR="00897AA5" w:rsidRPr="00AF78EF" w:rsidRDefault="00AF78EF" w:rsidP="00DA47C0">
      <w:pPr>
        <w:pStyle w:val="Bulletpoint"/>
      </w:pPr>
      <w:r w:rsidRPr="003F1051">
        <w:t>Metered water usage fee</w:t>
      </w:r>
      <w:r w:rsidR="00FA2F90">
        <w:t xml:space="preserve"> (levied per ML of water delivered)</w:t>
      </w:r>
      <w:r w:rsidR="00732C3F" w:rsidRPr="00732C3F">
        <w:t>.</w:t>
      </w:r>
    </w:p>
    <w:p w:rsidR="00897AA5" w:rsidRPr="00A63D8E" w:rsidRDefault="00897AA5" w:rsidP="00646225">
      <w:pPr>
        <w:pStyle w:val="Heading4"/>
      </w:pPr>
      <w:bookmarkStart w:id="127" w:name="_Toc418071359"/>
      <w:r w:rsidRPr="00A63D8E">
        <w:t>Hypothetical termination fees</w:t>
      </w:r>
      <w:bookmarkEnd w:id="127"/>
    </w:p>
    <w:p w:rsidR="00897AA5" w:rsidRDefault="00897AA5" w:rsidP="00897AA5">
      <w:r>
        <w:t xml:space="preserve">The hypothetical termination fees are calculated assuming 30 delivery shares are held, with either 50 or 100 per cent of this volume, and an equivalent number of </w:t>
      </w:r>
      <w:r w:rsidR="004D56E5">
        <w:t>drainage right</w:t>
      </w:r>
      <w:r>
        <w:t xml:space="preserve">, </w:t>
      </w:r>
      <w:r w:rsidR="004D56E5">
        <w:t xml:space="preserve">are </w:t>
      </w:r>
      <w:r>
        <w:t xml:space="preserve">terminated. </w:t>
      </w:r>
    </w:p>
    <w:p w:rsidR="00897AA5" w:rsidRDefault="00897AA5" w:rsidP="00897AA5">
      <w:r>
        <w:t xml:space="preserve">The </w:t>
      </w:r>
      <w:r w:rsidR="001C3657">
        <w:t>2015−16</w:t>
      </w:r>
      <w:r>
        <w:t xml:space="preserve"> hypothetical termination fee analysis includes the following charges listed on LMW’s schedule of charges: </w:t>
      </w:r>
    </w:p>
    <w:p w:rsidR="00897AA5" w:rsidRDefault="00897AA5" w:rsidP="00DA47C0">
      <w:pPr>
        <w:pStyle w:val="Bulletpoint"/>
      </w:pPr>
      <w:r>
        <w:t xml:space="preserve">delivery share fee </w:t>
      </w:r>
    </w:p>
    <w:p w:rsidR="00897AA5" w:rsidRDefault="00897AA5" w:rsidP="00DA47C0">
      <w:pPr>
        <w:pStyle w:val="Bulletpoint"/>
      </w:pPr>
      <w:r>
        <w:t>drainage fee</w:t>
      </w:r>
    </w:p>
    <w:p w:rsidR="00844FB9" w:rsidRDefault="00CD7F03" w:rsidP="00081B94">
      <w:r>
        <w:t>The dollar amount of each of these fixed charges (as applicable) is multiplied by ten and then added together as part of the calculation of the hypothetical bill</w:t>
      </w:r>
      <w:r w:rsidR="00081B94">
        <w:t>.</w:t>
      </w:r>
      <w:r w:rsidDel="00CD7F03">
        <w:t xml:space="preserve"> </w:t>
      </w:r>
    </w:p>
    <w:p w:rsidR="00A92837" w:rsidRDefault="00A92837">
      <w:pPr>
        <w:rPr>
          <w:rFonts w:eastAsiaTheme="majorEastAsia" w:cstheme="majorBidi"/>
          <w:b/>
          <w:bCs/>
          <w:i/>
          <w:iCs/>
          <w:color w:val="51626F"/>
          <w:sz w:val="24"/>
        </w:rPr>
      </w:pPr>
      <w:r>
        <w:br w:type="page"/>
      </w:r>
    </w:p>
    <w:p w:rsidR="00897AA5" w:rsidRPr="00BF13C5" w:rsidRDefault="001C3657" w:rsidP="00646225">
      <w:pPr>
        <w:pStyle w:val="Heading4"/>
      </w:pPr>
      <w:r>
        <w:lastRenderedPageBreak/>
        <w:t>2015−16</w:t>
      </w:r>
      <w:r w:rsidR="00990154" w:rsidRPr="00BF13C5">
        <w:t xml:space="preserve"> </w:t>
      </w:r>
      <w:r w:rsidR="00897AA5" w:rsidRPr="00BF13C5">
        <w:t>Schedule of Charges</w:t>
      </w:r>
    </w:p>
    <w:p w:rsidR="00897AA5" w:rsidRDefault="00897AA5" w:rsidP="00897AA5">
      <w:r>
        <w:t>The ACCC sourced the below schedule of charges from LMW’s website</w:t>
      </w:r>
      <w:r w:rsidR="00081B94">
        <w:t>:</w:t>
      </w:r>
      <w:r>
        <w:t xml:space="preserve">  </w:t>
      </w:r>
      <w:hyperlink r:id="rId67" w:history="1">
        <w:r w:rsidR="00990154" w:rsidRPr="006A2936">
          <w:rPr>
            <w:rStyle w:val="Hyperlink"/>
          </w:rPr>
          <w:t>http://www.lmw.vic.gov.au/LowerMurrayWaterSite/media/FactSheetsBrochures/Tariffs/2015-2016/Rural-Tariffs-2015-2016.pdf</w:t>
        </w:r>
      </w:hyperlink>
      <w:r>
        <w:t>.</w:t>
      </w:r>
    </w:p>
    <w:p w:rsidR="00B30993" w:rsidRPr="00B30993" w:rsidRDefault="003C515E" w:rsidP="00A63D8E">
      <w:r>
        <w:rPr>
          <w:noProof/>
          <w:lang w:eastAsia="en-AU"/>
        </w:rPr>
        <w:lastRenderedPageBreak/>
        <w:drawing>
          <wp:inline distT="0" distB="0" distL="0" distR="0" wp14:anchorId="1D1C6E48" wp14:editId="66BF7B0C">
            <wp:extent cx="5391509" cy="8548777"/>
            <wp:effectExtent l="0" t="0" r="0" b="5080"/>
            <wp:docPr id="10" name="Picture 9" descr="Schedule of Charges of Lower Murray Water used by the ACCC to prepare hypothetical bills for the 2015-16 water year." title="Lower Murray Water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8"/>
                    <a:stretch>
                      <a:fillRect/>
                    </a:stretch>
                  </pic:blipFill>
                  <pic:spPr>
                    <a:xfrm>
                      <a:off x="0" y="0"/>
                      <a:ext cx="5391509" cy="8548777"/>
                    </a:xfrm>
                    <a:prstGeom prst="rect">
                      <a:avLst/>
                    </a:prstGeom>
                  </pic:spPr>
                </pic:pic>
              </a:graphicData>
            </a:graphic>
          </wp:inline>
        </w:drawing>
      </w:r>
    </w:p>
    <w:p w:rsidR="00897AA5" w:rsidRDefault="00897AA5" w:rsidP="00736EBA">
      <w:pPr>
        <w:pStyle w:val="Numbered111"/>
      </w:pPr>
      <w:bookmarkStart w:id="128" w:name="_Toc418071361"/>
      <w:bookmarkStart w:id="129" w:name="_Toc418495363"/>
      <w:bookmarkStart w:id="130" w:name="_Toc447900608"/>
      <w:bookmarkStart w:id="131" w:name="_Toc449692998"/>
      <w:bookmarkStart w:id="132" w:name="_Toc485303355"/>
      <w:r>
        <w:lastRenderedPageBreak/>
        <w:t>West Corurgan Private Irrigation District (West Corurgan), NSW Murray</w:t>
      </w:r>
      <w:bookmarkEnd w:id="128"/>
      <w:bookmarkEnd w:id="129"/>
      <w:bookmarkEnd w:id="130"/>
      <w:bookmarkEnd w:id="131"/>
      <w:bookmarkEnd w:id="132"/>
    </w:p>
    <w:p w:rsidR="00FF1D7A" w:rsidRDefault="00FF1D7A" w:rsidP="00A63D8E">
      <w:pPr>
        <w:pStyle w:val="Heading4"/>
        <w:keepNext/>
      </w:pPr>
      <w:bookmarkStart w:id="133" w:name="_Toc418071362"/>
      <w:r w:rsidRPr="00B54E1D">
        <w:t>Off-river IO hypothetical bill</w:t>
      </w:r>
    </w:p>
    <w:bookmarkEnd w:id="133"/>
    <w:p w:rsidR="00897AA5" w:rsidRDefault="00897AA5" w:rsidP="00897AA5">
      <w:r>
        <w:t xml:space="preserve">The analysis assumes one irrigator in the West Corurgan network who: </w:t>
      </w:r>
    </w:p>
    <w:p w:rsidR="00897AA5" w:rsidRDefault="00897AA5" w:rsidP="00DA47C0">
      <w:pPr>
        <w:pStyle w:val="Bulletpoint"/>
      </w:pPr>
      <w:r>
        <w:t xml:space="preserve">holds a specific volume of irrigation right (50 ML, 250 ML or 1000 ML) and </w:t>
      </w:r>
    </w:p>
    <w:p w:rsidR="00897AA5" w:rsidRDefault="00897AA5" w:rsidP="00DA47C0">
      <w:pPr>
        <w:pStyle w:val="Bulletpoint"/>
      </w:pPr>
      <w:r>
        <w:t>holds an equivalent amount of water delivery right (50 ML, 250 ML or 1000 ML, respectively).</w:t>
      </w:r>
    </w:p>
    <w:p w:rsidR="00897AA5" w:rsidRDefault="00897AA5" w:rsidP="00897AA5">
      <w:r>
        <w:t xml:space="preserve">The </w:t>
      </w:r>
      <w:r w:rsidR="001C3657">
        <w:t>2015−16</w:t>
      </w:r>
      <w:r>
        <w:t xml:space="preserve"> hypothetical bill analysis includes the following charges listed on West Corurgan’s schedule of charges.   </w:t>
      </w:r>
    </w:p>
    <w:p w:rsidR="00897AA5" w:rsidRDefault="00897AA5" w:rsidP="00897AA5">
      <w:r>
        <w:t>Fixed:</w:t>
      </w:r>
    </w:p>
    <w:p w:rsidR="00897AA5" w:rsidRPr="0038301A" w:rsidRDefault="00897AA5" w:rsidP="00DA47C0">
      <w:pPr>
        <w:pStyle w:val="Bulletpoint"/>
      </w:pPr>
      <w:r w:rsidRPr="0038301A">
        <w:t xml:space="preserve">network access fee </w:t>
      </w:r>
      <w:r w:rsidR="00B5011A" w:rsidRPr="0038301A">
        <w:t>(</w:t>
      </w:r>
      <w:r w:rsidR="00B4193D">
        <w:t>levied per ML of ‘delivery entitlement’ (water delivery right) held</w:t>
      </w:r>
      <w:r w:rsidR="00B5011A" w:rsidRPr="0038301A">
        <w:t>)</w:t>
      </w:r>
    </w:p>
    <w:p w:rsidR="00897AA5" w:rsidRPr="0038301A" w:rsidRDefault="00897AA5" w:rsidP="00DA47C0">
      <w:pPr>
        <w:pStyle w:val="Bulletpoint"/>
      </w:pPr>
      <w:r w:rsidRPr="0038301A">
        <w:t>fixed government fee</w:t>
      </w:r>
      <w:r w:rsidR="00B5011A" w:rsidRPr="0038301A">
        <w:t xml:space="preserve"> </w:t>
      </w:r>
      <w:r w:rsidR="00B4193D">
        <w:t xml:space="preserve"> levied per ML of ‘water entitlement’ (irrigation right) held</w:t>
      </w:r>
      <w:r w:rsidR="00B5011A" w:rsidRPr="0038301A">
        <w:t>)</w:t>
      </w:r>
    </w:p>
    <w:p w:rsidR="00897AA5" w:rsidRDefault="00897AA5" w:rsidP="00897AA5">
      <w:r>
        <w:t>Variable:</w:t>
      </w:r>
    </w:p>
    <w:p w:rsidR="00897AA5" w:rsidRPr="0038301A" w:rsidRDefault="00897AA5" w:rsidP="00DA47C0">
      <w:pPr>
        <w:pStyle w:val="Bulletpoint"/>
      </w:pPr>
      <w:r w:rsidRPr="0038301A">
        <w:t>water consumption</w:t>
      </w:r>
      <w:r w:rsidR="001F10B6" w:rsidRPr="0038301A">
        <w:t xml:space="preserve"> fee (paid monthly</w:t>
      </w:r>
      <w:r w:rsidR="00B4193D">
        <w:t>, per ML of water delivered</w:t>
      </w:r>
      <w:r w:rsidR="001F10B6" w:rsidRPr="0038301A">
        <w:t>)</w:t>
      </w:r>
      <w:r w:rsidR="004D4D44">
        <w:t>.</w:t>
      </w:r>
    </w:p>
    <w:p w:rsidR="00DE43F4" w:rsidRDefault="00897AA5" w:rsidP="00897AA5">
      <w:r w:rsidRPr="00B5011A">
        <w:t>The fixed government fee recover</w:t>
      </w:r>
      <w:r w:rsidR="00334E31">
        <w:t>s</w:t>
      </w:r>
      <w:r w:rsidRPr="00B5011A">
        <w:t xml:space="preserve"> WaterNSW and DPI </w:t>
      </w:r>
      <w:r w:rsidR="00B7031A">
        <w:t xml:space="preserve">Water </w:t>
      </w:r>
      <w:r w:rsidRPr="00B5011A">
        <w:t>fixed</w:t>
      </w:r>
      <w:r w:rsidR="004F54F6">
        <w:t xml:space="preserve"> charges</w:t>
      </w:r>
      <w:r w:rsidRPr="00B5011A">
        <w:t xml:space="preserve"> imposed on West Corurgan and passed</w:t>
      </w:r>
      <w:r>
        <w:t xml:space="preserve"> through to its customers. </w:t>
      </w:r>
      <w:r w:rsidR="00DE43F4">
        <w:t xml:space="preserve">Similarly, the water consumption fee recovers WaterNSW and DPI Water variable charges imposed on West Corurgan, </w:t>
      </w:r>
      <w:r w:rsidR="00FA2F90">
        <w:t xml:space="preserve">and </w:t>
      </w:r>
      <w:r w:rsidR="00DE43F4">
        <w:t xml:space="preserve">also some of West Corurgan’s own costs (e.g. variable costs of delivering water through the off-river network). </w:t>
      </w:r>
    </w:p>
    <w:p w:rsidR="00897AA5" w:rsidRDefault="00DE43F4" w:rsidP="00897AA5">
      <w:r>
        <w:t>T</w:t>
      </w:r>
      <w:r w:rsidR="00897AA5">
        <w:t xml:space="preserve">hese charges </w:t>
      </w:r>
      <w:r>
        <w:t xml:space="preserve">also include recovery of WaterNSW and DPI Water charges payable in relation to water used </w:t>
      </w:r>
      <w:r w:rsidR="00897AA5">
        <w:t>for transportation or conveyance loss</w:t>
      </w:r>
      <w:r w:rsidR="004D1487">
        <w:t>es</w:t>
      </w:r>
      <w:r w:rsidR="00897AA5">
        <w:t xml:space="preserve">. </w:t>
      </w:r>
      <w:r>
        <w:t>West Corurgan does not hold a separate water access entitlement to cover conveyance losses</w:t>
      </w:r>
      <w:r w:rsidR="004F54F6">
        <w:t>;</w:t>
      </w:r>
      <w:r>
        <w:t xml:space="preserve"> rather</w:t>
      </w:r>
      <w:r w:rsidR="004F54F6">
        <w:t>,</w:t>
      </w:r>
      <w:r>
        <w:t xml:space="preserve"> </w:t>
      </w:r>
      <w:r w:rsidR="004F54F6">
        <w:t xml:space="preserve">it </w:t>
      </w:r>
      <w:r w:rsidR="00B4193D">
        <w:t xml:space="preserve">uses some of the water allocated to its general security water access licence to cover losses. </w:t>
      </w:r>
      <w:r w:rsidR="00897AA5">
        <w:t>The</w:t>
      </w:r>
      <w:r w:rsidR="004D1487">
        <w:t xml:space="preserve"> </w:t>
      </w:r>
      <w:r w:rsidR="00421FBE">
        <w:t>transportation/conveyance</w:t>
      </w:r>
      <w:r w:rsidR="004D1487">
        <w:t xml:space="preserve"> water</w:t>
      </w:r>
      <w:r w:rsidR="00897AA5">
        <w:t xml:space="preserve"> also incur</w:t>
      </w:r>
      <w:r w:rsidR="004D1487">
        <w:t>s</w:t>
      </w:r>
      <w:r w:rsidR="00897AA5">
        <w:t xml:space="preserve"> WaterNSW and DPI </w:t>
      </w:r>
      <w:r w:rsidR="00B7031A">
        <w:t xml:space="preserve">Water </w:t>
      </w:r>
      <w:r w:rsidR="00897AA5">
        <w:t xml:space="preserve">charges which are then </w:t>
      </w:r>
      <w:r w:rsidR="007D74DB">
        <w:t>shared</w:t>
      </w:r>
      <w:r w:rsidR="000D48D7">
        <w:t xml:space="preserve"> </w:t>
      </w:r>
      <w:r w:rsidR="00897AA5">
        <w:t xml:space="preserve">across all customers </w:t>
      </w:r>
      <w:r>
        <w:t>holding irrigation rights</w:t>
      </w:r>
      <w:r w:rsidR="00897AA5">
        <w:t xml:space="preserve"> and</w:t>
      </w:r>
      <w:r w:rsidR="00B4193D">
        <w:t>/or</w:t>
      </w:r>
      <w:r w:rsidR="00897AA5">
        <w:t xml:space="preserve"> that have water delivered. The hypothetical bill analysis makes the following assumptions to separate </w:t>
      </w:r>
      <w:r w:rsidR="00B4193D">
        <w:t xml:space="preserve">out </w:t>
      </w:r>
      <w:r w:rsidR="00897AA5">
        <w:t xml:space="preserve">the WaterNSW and DPI charge components within each of the two relevant West Corurgan charges. </w:t>
      </w:r>
    </w:p>
    <w:p w:rsidR="00F227B8" w:rsidRPr="0038301A" w:rsidRDefault="00897AA5" w:rsidP="00DA47C0">
      <w:pPr>
        <w:pStyle w:val="Bulletpoint"/>
      </w:pPr>
      <w:r w:rsidRPr="0038301A">
        <w:t>Annual fixed government fee</w:t>
      </w:r>
      <w:r w:rsidR="009E21FF">
        <w:t xml:space="preserve">: </w:t>
      </w:r>
      <w:r w:rsidRPr="0038301A">
        <w:t xml:space="preserve">West Corurgan’s listed annual fixed government fee </w:t>
      </w:r>
      <w:r w:rsidR="005B17C1" w:rsidRPr="0038301A">
        <w:t>($5.50</w:t>
      </w:r>
      <w:r w:rsidR="00D80714" w:rsidRPr="0038301A">
        <w:t>/ML</w:t>
      </w:r>
      <w:r w:rsidR="005B17C1" w:rsidRPr="0038301A">
        <w:t xml:space="preserve">) </w:t>
      </w:r>
      <w:r w:rsidR="004D1487" w:rsidRPr="0038301A">
        <w:t>exceeds the sum of</w:t>
      </w:r>
      <w:r w:rsidRPr="0038301A">
        <w:t xml:space="preserve"> </w:t>
      </w:r>
      <w:r w:rsidR="00682462" w:rsidRPr="0038301A">
        <w:t xml:space="preserve">the WaterNSW fixed fee </w:t>
      </w:r>
      <w:r w:rsidR="006F0EBB" w:rsidRPr="0038301A">
        <w:t>($2.66/ML) and DPI fixed fee ($1.50/ML) for the Murray valley. The</w:t>
      </w:r>
      <w:r w:rsidR="005B17C1" w:rsidRPr="0038301A">
        <w:t xml:space="preserve"> remainder</w:t>
      </w:r>
      <w:r w:rsidR="004D1487" w:rsidRPr="0038301A">
        <w:t xml:space="preserve"> ($1.34/ML)</w:t>
      </w:r>
      <w:r w:rsidR="00B506F9" w:rsidRPr="0038301A">
        <w:t xml:space="preserve">, which accounts for the </w:t>
      </w:r>
      <w:r w:rsidR="00EC0053" w:rsidRPr="0038301A">
        <w:t xml:space="preserve">fixed </w:t>
      </w:r>
      <w:r w:rsidR="00B506F9" w:rsidRPr="0038301A">
        <w:t>costs of West Corurgan purchased conveyance water applicable to WaterNSW and DPI Water</w:t>
      </w:r>
      <w:r w:rsidR="004D1487" w:rsidRPr="0038301A">
        <w:t>,</w:t>
      </w:r>
      <w:r w:rsidR="005B17C1" w:rsidRPr="0038301A">
        <w:t xml:space="preserve"> </w:t>
      </w:r>
      <w:r w:rsidR="007053DF" w:rsidRPr="0038301A">
        <w:t xml:space="preserve">is separated into WaterNSW </w:t>
      </w:r>
      <w:r w:rsidR="00B506F9" w:rsidRPr="0038301A">
        <w:t>($0.86</w:t>
      </w:r>
      <w:r w:rsidR="00421FBE" w:rsidRPr="0038301A">
        <w:t>/ML</w:t>
      </w:r>
      <w:r w:rsidR="00B506F9" w:rsidRPr="0038301A">
        <w:t xml:space="preserve">) </w:t>
      </w:r>
      <w:r w:rsidR="007053DF" w:rsidRPr="0038301A">
        <w:t xml:space="preserve">and DPI </w:t>
      </w:r>
      <w:r w:rsidR="00B506F9" w:rsidRPr="0038301A">
        <w:t>($0.48</w:t>
      </w:r>
      <w:r w:rsidR="00421FBE" w:rsidRPr="0038301A">
        <w:t>/ML</w:t>
      </w:r>
      <w:r w:rsidR="00B506F9" w:rsidRPr="0038301A">
        <w:t xml:space="preserve">) </w:t>
      </w:r>
      <w:r w:rsidR="007053DF" w:rsidRPr="0038301A">
        <w:t xml:space="preserve">components </w:t>
      </w:r>
      <w:r w:rsidRPr="0038301A">
        <w:t>using a ratio of the actual</w:t>
      </w:r>
      <w:r w:rsidR="00166268" w:rsidRPr="0038301A">
        <w:t xml:space="preserve"> </w:t>
      </w:r>
      <w:r w:rsidRPr="0038301A">
        <w:t>WaterNSW</w:t>
      </w:r>
      <w:r w:rsidRPr="00FA2F90">
        <w:rPr>
          <w:rStyle w:val="FootnoteReference"/>
        </w:rPr>
        <w:footnoteReference w:id="53"/>
      </w:r>
      <w:r w:rsidRPr="0038301A">
        <w:t xml:space="preserve"> and DPI</w:t>
      </w:r>
      <w:r w:rsidR="00B7031A" w:rsidRPr="0038301A">
        <w:t xml:space="preserve"> Water</w:t>
      </w:r>
      <w:r w:rsidRPr="00FA2F90">
        <w:rPr>
          <w:rStyle w:val="FootnoteReference"/>
        </w:rPr>
        <w:footnoteReference w:id="54"/>
      </w:r>
      <w:r w:rsidRPr="0038301A">
        <w:t xml:space="preserve"> fixed </w:t>
      </w:r>
      <w:r w:rsidR="00285E5F" w:rsidRPr="0038301A">
        <w:t>charges.</w:t>
      </w:r>
    </w:p>
    <w:p w:rsidR="00897AA5" w:rsidRPr="0038301A" w:rsidRDefault="004B79DE" w:rsidP="00DA47C0">
      <w:pPr>
        <w:pStyle w:val="Bulletpoint"/>
      </w:pPr>
      <w:r w:rsidRPr="0038301A">
        <w:t>W</w:t>
      </w:r>
      <w:r w:rsidR="00897AA5" w:rsidRPr="0038301A">
        <w:t>ater consumption fee</w:t>
      </w:r>
      <w:r w:rsidR="009E21FF">
        <w:t>:</w:t>
      </w:r>
      <w:r w:rsidR="00897AA5" w:rsidRPr="0038301A">
        <w:t xml:space="preserve"> the components of West Corurgan’s listed water consumption fee </w:t>
      </w:r>
      <w:r w:rsidR="00505F8A" w:rsidRPr="0038301A">
        <w:t>are</w:t>
      </w:r>
      <w:r w:rsidR="00897AA5" w:rsidRPr="0038301A">
        <w:t xml:space="preserve"> separated using the following formulas. This calculation accounts for the </w:t>
      </w:r>
      <w:r w:rsidR="00FA2F90">
        <w:t>WaterNSW and DPI Water variable</w:t>
      </w:r>
      <w:r w:rsidR="00FA2F90" w:rsidRPr="0038301A">
        <w:t xml:space="preserve"> </w:t>
      </w:r>
      <w:r w:rsidR="00FA2F90">
        <w:t>charges levied on water used for conveyance</w:t>
      </w:r>
      <w:r w:rsidR="007053DF" w:rsidRPr="0038301A">
        <w:t xml:space="preserve">. </w:t>
      </w:r>
    </w:p>
    <w:p w:rsidR="00897AA5" w:rsidRPr="009E21FF" w:rsidRDefault="00897AA5" w:rsidP="00DA47C0">
      <w:pPr>
        <w:rPr>
          <w:rStyle w:val="Emphasis"/>
        </w:rPr>
      </w:pPr>
      <w:r w:rsidRPr="009E21FF">
        <w:rPr>
          <w:rStyle w:val="Emphasis"/>
        </w:rPr>
        <w:t xml:space="preserve">DPI </w:t>
      </w:r>
      <w:r w:rsidR="00B7031A" w:rsidRPr="009E21FF">
        <w:rPr>
          <w:rStyle w:val="Emphasis"/>
        </w:rPr>
        <w:t xml:space="preserve">Water </w:t>
      </w:r>
      <w:r w:rsidRPr="009E21FF">
        <w:rPr>
          <w:rStyle w:val="Emphasis"/>
        </w:rPr>
        <w:t xml:space="preserve">component = DPI </w:t>
      </w:r>
      <w:r w:rsidR="00B7031A" w:rsidRPr="009E21FF">
        <w:rPr>
          <w:rStyle w:val="Emphasis"/>
        </w:rPr>
        <w:t xml:space="preserve">Water </w:t>
      </w:r>
      <w:r w:rsidRPr="009E21FF">
        <w:rPr>
          <w:rStyle w:val="Emphasis"/>
        </w:rPr>
        <w:t xml:space="preserve">usage charge + DPI </w:t>
      </w:r>
      <w:r w:rsidR="00B506F9" w:rsidRPr="009E21FF">
        <w:rPr>
          <w:rStyle w:val="Emphasis"/>
        </w:rPr>
        <w:t xml:space="preserve">Water </w:t>
      </w:r>
      <w:r w:rsidRPr="009E21FF">
        <w:rPr>
          <w:rStyle w:val="Emphasis"/>
        </w:rPr>
        <w:t xml:space="preserve">usage charge x </w:t>
      </w:r>
      <w:r w:rsidR="00505F8A" w:rsidRPr="009E21FF">
        <w:rPr>
          <w:rStyle w:val="Emphasis"/>
        </w:rPr>
        <w:t>(</w:t>
      </w:r>
      <w:r w:rsidRPr="009E21FF">
        <w:rPr>
          <w:rStyle w:val="Emphasis"/>
        </w:rPr>
        <w:t xml:space="preserve">volume of </w:t>
      </w:r>
      <w:r w:rsidR="009E21FF" w:rsidRPr="009E21FF">
        <w:rPr>
          <w:rStyle w:val="Emphasis"/>
        </w:rPr>
        <w:t xml:space="preserve">conveyance </w:t>
      </w:r>
      <w:r w:rsidRPr="009E21FF">
        <w:rPr>
          <w:rStyle w:val="Emphasis"/>
        </w:rPr>
        <w:t>water</w:t>
      </w:r>
      <w:r w:rsidR="00505F8A" w:rsidRPr="009E21FF">
        <w:rPr>
          <w:rStyle w:val="Emphasis"/>
        </w:rPr>
        <w:t>)</w:t>
      </w:r>
      <w:r w:rsidR="00F03E8D" w:rsidRPr="009E21FF">
        <w:rPr>
          <w:rStyle w:val="Emphasis"/>
        </w:rPr>
        <w:t>/</w:t>
      </w:r>
      <w:r w:rsidR="00505F8A" w:rsidRPr="009E21FF">
        <w:rPr>
          <w:rStyle w:val="Emphasis"/>
        </w:rPr>
        <w:t>(v</w:t>
      </w:r>
      <w:r w:rsidRPr="009E21FF">
        <w:rPr>
          <w:rStyle w:val="Emphasis"/>
        </w:rPr>
        <w:t>olume of total water delivered</w:t>
      </w:r>
      <w:r w:rsidR="00505F8A" w:rsidRPr="009E21FF">
        <w:rPr>
          <w:rStyle w:val="Emphasis"/>
        </w:rPr>
        <w:t>)</w:t>
      </w:r>
      <w:r w:rsidRPr="009E21FF">
        <w:rPr>
          <w:rStyle w:val="Emphasis"/>
        </w:rPr>
        <w:t xml:space="preserve"> </w:t>
      </w:r>
    </w:p>
    <w:p w:rsidR="00897AA5" w:rsidRPr="009E21FF" w:rsidRDefault="00863195" w:rsidP="00DA47C0">
      <w:pPr>
        <w:rPr>
          <w:rStyle w:val="Emphasis"/>
        </w:rPr>
      </w:pPr>
      <w:r w:rsidRPr="009E21FF">
        <w:rPr>
          <w:rStyle w:val="Emphasis"/>
        </w:rPr>
        <w:t>WaterNSW component</w:t>
      </w:r>
      <w:r w:rsidR="00897AA5" w:rsidRPr="009E21FF">
        <w:rPr>
          <w:rStyle w:val="Emphasis"/>
        </w:rPr>
        <w:t xml:space="preserve"> =</w:t>
      </w:r>
      <w:r w:rsidR="00F227B8" w:rsidRPr="009E21FF">
        <w:rPr>
          <w:rStyle w:val="Emphasis"/>
        </w:rPr>
        <w:t xml:space="preserve"> </w:t>
      </w:r>
      <w:r w:rsidR="00897AA5" w:rsidRPr="009E21FF">
        <w:rPr>
          <w:rStyle w:val="Emphasis"/>
        </w:rPr>
        <w:t>WaterNSW usage charge</w:t>
      </w:r>
      <w:r w:rsidR="00505F8A" w:rsidRPr="009E21FF">
        <w:rPr>
          <w:rStyle w:val="Emphasis"/>
        </w:rPr>
        <w:t xml:space="preserve"> </w:t>
      </w:r>
      <w:r w:rsidR="00897AA5" w:rsidRPr="009E21FF">
        <w:rPr>
          <w:rStyle w:val="Emphasis"/>
        </w:rPr>
        <w:t xml:space="preserve">+ WaterNSW usage charge x </w:t>
      </w:r>
      <w:r w:rsidR="00505F8A" w:rsidRPr="009E21FF">
        <w:rPr>
          <w:rStyle w:val="Emphasis"/>
        </w:rPr>
        <w:t>(</w:t>
      </w:r>
      <w:r w:rsidR="00897AA5" w:rsidRPr="009E21FF">
        <w:rPr>
          <w:rStyle w:val="Emphasis"/>
        </w:rPr>
        <w:t xml:space="preserve">volume of </w:t>
      </w:r>
      <w:r w:rsidR="009E21FF" w:rsidRPr="009E21FF">
        <w:rPr>
          <w:rStyle w:val="Emphasis"/>
        </w:rPr>
        <w:t xml:space="preserve">conveyance </w:t>
      </w:r>
      <w:r w:rsidR="00897AA5" w:rsidRPr="009E21FF">
        <w:rPr>
          <w:rStyle w:val="Emphasis"/>
        </w:rPr>
        <w:t>water</w:t>
      </w:r>
      <w:r w:rsidR="00B506F9" w:rsidRPr="009E21FF">
        <w:rPr>
          <w:rStyle w:val="Emphasis"/>
        </w:rPr>
        <w:t>)</w:t>
      </w:r>
      <w:r w:rsidR="00F03E8D" w:rsidRPr="009E21FF">
        <w:rPr>
          <w:rStyle w:val="Emphasis"/>
        </w:rPr>
        <w:t>/</w:t>
      </w:r>
      <w:r w:rsidR="00505F8A" w:rsidRPr="009E21FF">
        <w:rPr>
          <w:rStyle w:val="Emphasis"/>
        </w:rPr>
        <w:t>(v</w:t>
      </w:r>
      <w:r w:rsidR="00897AA5" w:rsidRPr="009E21FF">
        <w:rPr>
          <w:rStyle w:val="Emphasis"/>
        </w:rPr>
        <w:t>olume of total water delivered</w:t>
      </w:r>
      <w:r w:rsidR="00505F8A" w:rsidRPr="009E21FF">
        <w:rPr>
          <w:rStyle w:val="Emphasis"/>
        </w:rPr>
        <w:t>)</w:t>
      </w:r>
    </w:p>
    <w:p w:rsidR="009E21FF" w:rsidRPr="009E21FF" w:rsidRDefault="009E21FF" w:rsidP="00DA47C0">
      <w:pPr>
        <w:rPr>
          <w:rStyle w:val="Emphasis"/>
        </w:rPr>
      </w:pPr>
      <w:r w:rsidRPr="009E21FF">
        <w:rPr>
          <w:rStyle w:val="Emphasis"/>
        </w:rPr>
        <w:lastRenderedPageBreak/>
        <w:t>West Corurgan component = water consumption fee – DPI Water component – WaterNSW component</w:t>
      </w:r>
    </w:p>
    <w:p w:rsidR="00897AA5" w:rsidRPr="00A63D8E" w:rsidRDefault="00897AA5" w:rsidP="00A63D8E">
      <w:pPr>
        <w:pStyle w:val="Heading4"/>
        <w:keepNext/>
      </w:pPr>
      <w:bookmarkStart w:id="134" w:name="_Toc418071363"/>
      <w:r w:rsidRPr="00A63D8E">
        <w:t>Hypothetical termination fee</w:t>
      </w:r>
      <w:bookmarkEnd w:id="134"/>
    </w:p>
    <w:p w:rsidR="00897AA5" w:rsidRDefault="00897AA5" w:rsidP="00081B94">
      <w:r>
        <w:t>The hypothetical termination fee is calculated assuming 250 ML of water delivery right is held, with either 50 or 100 per cent of this volume terminated.</w:t>
      </w:r>
    </w:p>
    <w:p w:rsidR="00EF5FAB" w:rsidRDefault="00897AA5" w:rsidP="00081B94">
      <w:r>
        <w:t xml:space="preserve">The </w:t>
      </w:r>
      <w:r w:rsidR="001C3657">
        <w:t>2015−16</w:t>
      </w:r>
      <w:r>
        <w:t xml:space="preserve"> hypothetical termination fee </w:t>
      </w:r>
      <w:r w:rsidR="005B17C1">
        <w:t xml:space="preserve">is calculated using </w:t>
      </w:r>
      <w:r>
        <w:t xml:space="preserve">the </w:t>
      </w:r>
      <w:r w:rsidR="00EF5FAB">
        <w:t xml:space="preserve">Delivery Entitlement Termination Fee </w:t>
      </w:r>
      <w:r>
        <w:t>listed on West Corurgan’s schedule of charges</w:t>
      </w:r>
      <w:r w:rsidR="00EF5FAB">
        <w:t xml:space="preserve"> less GST (equal to $187/ML Delivery Entitlement Termination Fee </w:t>
      </w:r>
      <w:r w:rsidR="00C90106">
        <w:t>–</w:t>
      </w:r>
      <w:r w:rsidR="00EF5FAB">
        <w:t xml:space="preserve"> $17.00/ML GST = $170/ML)</w:t>
      </w:r>
      <w:r w:rsidR="005B17C1">
        <w:t>.</w:t>
      </w:r>
      <w:r w:rsidR="00EF5FAB">
        <w:t xml:space="preserve"> The ACCC has excluded GST from the West Corurgan Termination Fee</w:t>
      </w:r>
      <w:r w:rsidR="00D05262">
        <w:t>,</w:t>
      </w:r>
      <w:r w:rsidR="00EF5FAB">
        <w:t xml:space="preserve"> consistent with it</w:t>
      </w:r>
      <w:r w:rsidR="00D05262">
        <w:t xml:space="preserve">s approach </w:t>
      </w:r>
      <w:r w:rsidR="00EF5FAB">
        <w:t xml:space="preserve">for all other off-river IOs. </w:t>
      </w:r>
      <w:r w:rsidR="00D716D5">
        <w:t xml:space="preserve"> </w:t>
      </w:r>
    </w:p>
    <w:p w:rsidR="00897AA5" w:rsidRDefault="001C3657" w:rsidP="00897AA5">
      <w:pPr>
        <w:pStyle w:val="Heading4"/>
        <w:keepNext/>
      </w:pPr>
      <w:bookmarkStart w:id="135" w:name="_Toc418071365"/>
      <w:bookmarkStart w:id="136" w:name="_Toc418495364"/>
      <w:r>
        <w:t>2015−16</w:t>
      </w:r>
      <w:r w:rsidR="00B5011A">
        <w:t xml:space="preserve"> </w:t>
      </w:r>
      <w:r w:rsidR="00897AA5">
        <w:t>Schedule of charges</w:t>
      </w:r>
    </w:p>
    <w:p w:rsidR="00897AA5" w:rsidRDefault="00897AA5" w:rsidP="00897AA5">
      <w:r>
        <w:t>The ACCC sourced West Corurgan’s schedule of charges from its website</w:t>
      </w:r>
      <w:r w:rsidR="00E459B9">
        <w:t>:</w:t>
      </w:r>
      <w:r>
        <w:t xml:space="preserve"> </w:t>
      </w:r>
      <w:hyperlink r:id="rId69" w:history="1">
        <w:r w:rsidRPr="00C20DBD">
          <w:rPr>
            <w:rStyle w:val="Hyperlink"/>
          </w:rPr>
          <w:t>http://www.corurgan.com.au/fees-and-charges</w:t>
        </w:r>
      </w:hyperlink>
      <w:r>
        <w:t xml:space="preserve">. </w:t>
      </w:r>
    </w:p>
    <w:p w:rsidR="00897AA5" w:rsidRDefault="00DA60C7" w:rsidP="00897AA5">
      <w:r>
        <w:rPr>
          <w:noProof/>
          <w:lang w:eastAsia="en-AU"/>
        </w:rPr>
        <w:lastRenderedPageBreak/>
        <w:drawing>
          <wp:inline distT="0" distB="0" distL="0" distR="0" wp14:anchorId="5AE072B8" wp14:editId="6F9DE43E">
            <wp:extent cx="5532755" cy="8530046"/>
            <wp:effectExtent l="0" t="0" r="0" b="4445"/>
            <wp:docPr id="42" name="Picture 1" descr="Schedule of Charges of West Corurgan Private Irrigation District used by the ACCC to prepare hypothetical bills for the 2015-16 water year." title="West Corurgan Private Irrigation District Schedule of Charges, 2015-16,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0"/>
                    <a:stretch>
                      <a:fillRect/>
                    </a:stretch>
                  </pic:blipFill>
                  <pic:spPr>
                    <a:xfrm>
                      <a:off x="0" y="0"/>
                      <a:ext cx="5532755" cy="8530046"/>
                    </a:xfrm>
                    <a:prstGeom prst="rect">
                      <a:avLst/>
                    </a:prstGeom>
                  </pic:spPr>
                </pic:pic>
              </a:graphicData>
            </a:graphic>
          </wp:inline>
        </w:drawing>
      </w:r>
    </w:p>
    <w:p w:rsidR="0092680E" w:rsidRDefault="0092680E" w:rsidP="00736EBA">
      <w:bookmarkStart w:id="137" w:name="_Toc447900609"/>
      <w:bookmarkStart w:id="138" w:name="_Toc449692999"/>
    </w:p>
    <w:p w:rsidR="00897AA5" w:rsidRDefault="00897AA5" w:rsidP="00736EBA">
      <w:pPr>
        <w:pStyle w:val="Numbered111"/>
      </w:pPr>
      <w:bookmarkStart w:id="139" w:name="_Toc485303356"/>
      <w:r>
        <w:lastRenderedPageBreak/>
        <w:t>Moira Private Irrigation District (Moira), NSW Murray</w:t>
      </w:r>
      <w:bookmarkEnd w:id="135"/>
      <w:bookmarkEnd w:id="136"/>
      <w:bookmarkEnd w:id="137"/>
      <w:bookmarkEnd w:id="138"/>
      <w:bookmarkEnd w:id="139"/>
    </w:p>
    <w:p w:rsidR="00897AA5" w:rsidRDefault="00897AA5" w:rsidP="00897AA5">
      <w:pPr>
        <w:pStyle w:val="Heading4"/>
        <w:keepNext/>
      </w:pPr>
      <w:bookmarkStart w:id="140" w:name="_Toc418071366"/>
      <w:r>
        <w:t>Off-river IO hypothetical bill</w:t>
      </w:r>
    </w:p>
    <w:bookmarkEnd w:id="140"/>
    <w:p w:rsidR="00897AA5" w:rsidRDefault="00897AA5" w:rsidP="00897AA5">
      <w:r>
        <w:t xml:space="preserve">The analysis assumes one irrigator in Moira’s network who: </w:t>
      </w:r>
    </w:p>
    <w:p w:rsidR="00897AA5" w:rsidRDefault="00897AA5" w:rsidP="00DA47C0">
      <w:pPr>
        <w:pStyle w:val="Bulletpoint"/>
      </w:pPr>
      <w:r>
        <w:t xml:space="preserve">holds a specific volume of irrigation right (50 ML, 250 ML or 1000 ML) and </w:t>
      </w:r>
    </w:p>
    <w:p w:rsidR="00897AA5" w:rsidRDefault="00897AA5" w:rsidP="00DA47C0">
      <w:pPr>
        <w:pStyle w:val="Bulletpoint"/>
      </w:pPr>
      <w:r>
        <w:t>holds an equivalent amount of water delivery right (50 ML, 250 ML or 1000 ML, respectively).</w:t>
      </w:r>
    </w:p>
    <w:p w:rsidR="00897AA5" w:rsidRDefault="00897AA5" w:rsidP="00897AA5">
      <w:r>
        <w:t xml:space="preserve">The </w:t>
      </w:r>
      <w:r w:rsidR="001C3657">
        <w:t>2015−16</w:t>
      </w:r>
      <w:r w:rsidR="00E9224B">
        <w:t xml:space="preserve"> </w:t>
      </w:r>
      <w:r>
        <w:t xml:space="preserve">hypothetical bill analysis includes the following charges listed on Moira’s schedule of charges. </w:t>
      </w:r>
    </w:p>
    <w:p w:rsidR="00897AA5" w:rsidRDefault="00897AA5" w:rsidP="00897AA5">
      <w:r>
        <w:t>Fixed:</w:t>
      </w:r>
    </w:p>
    <w:p w:rsidR="00897AA5" w:rsidRDefault="00897AA5" w:rsidP="00DA47C0">
      <w:pPr>
        <w:pStyle w:val="Bulletpoint"/>
      </w:pPr>
      <w:r>
        <w:t>administration</w:t>
      </w:r>
      <w:r w:rsidR="00D80714">
        <w:t>:</w:t>
      </w:r>
      <w:r>
        <w:t xml:space="preserve"> operating costs</w:t>
      </w:r>
      <w:r w:rsidR="00D05262">
        <w:t xml:space="preserve"> (levied per ML of water delivery right held)</w:t>
      </w:r>
    </w:p>
    <w:p w:rsidR="00897AA5" w:rsidRDefault="00D80714" w:rsidP="00DA47C0">
      <w:pPr>
        <w:pStyle w:val="Bulletpoint"/>
      </w:pPr>
      <w:r>
        <w:t xml:space="preserve">administration: </w:t>
      </w:r>
      <w:r w:rsidR="00897AA5">
        <w:t>electricity connection charge</w:t>
      </w:r>
      <w:r w:rsidR="00D05262">
        <w:t xml:space="preserve"> (levied per ML of water delivery right held)</w:t>
      </w:r>
    </w:p>
    <w:p w:rsidR="00897AA5" w:rsidRDefault="00897AA5" w:rsidP="00897AA5">
      <w:r>
        <w:t>Variable:</w:t>
      </w:r>
    </w:p>
    <w:p w:rsidR="00897AA5" w:rsidRDefault="00897AA5" w:rsidP="00DA47C0">
      <w:pPr>
        <w:pStyle w:val="Bulletpoint"/>
      </w:pPr>
      <w:r>
        <w:t>MPID delivery fee</w:t>
      </w:r>
      <w:r w:rsidR="00D05262">
        <w:t xml:space="preserve"> (levied per ML of water delivered)</w:t>
      </w:r>
    </w:p>
    <w:p w:rsidR="00897AA5" w:rsidRDefault="00897AA5" w:rsidP="00DA47C0">
      <w:pPr>
        <w:pStyle w:val="Bulletpoint"/>
      </w:pPr>
      <w:r>
        <w:t xml:space="preserve">government </w:t>
      </w:r>
      <w:r w:rsidR="00E9224B">
        <w:t>charges</w:t>
      </w:r>
      <w:r w:rsidR="00D05262">
        <w:t xml:space="preserve">  (levied per ML of water delivered)</w:t>
      </w:r>
    </w:p>
    <w:p w:rsidR="00D80714" w:rsidRDefault="003F5C53" w:rsidP="00DA47C0">
      <w:pPr>
        <w:pStyle w:val="Bulletpoint"/>
      </w:pPr>
      <w:r>
        <w:t>l</w:t>
      </w:r>
      <w:r w:rsidR="00D80714">
        <w:t>osses factor</w:t>
      </w:r>
      <w:r w:rsidR="00D05262">
        <w:t xml:space="preserve"> (levied per ML of water delivered)</w:t>
      </w:r>
    </w:p>
    <w:p w:rsidR="00897AA5" w:rsidRDefault="00897AA5" w:rsidP="00897AA5">
      <w:r>
        <w:t xml:space="preserve">Moira’s administration operating costs </w:t>
      </w:r>
      <w:r w:rsidR="00D05262">
        <w:t xml:space="preserve">charge </w:t>
      </w:r>
      <w:r>
        <w:t xml:space="preserve">and government usage charge recover both WaterNSW and DPI </w:t>
      </w:r>
      <w:r w:rsidR="00E459B9">
        <w:t xml:space="preserve">Water </w:t>
      </w:r>
      <w:r>
        <w:t xml:space="preserve">charges imposed on Moira and passed through to its customers. </w:t>
      </w:r>
      <w:r w:rsidR="00D05262">
        <w:t xml:space="preserve">In the former case, the charge also recovers some of Moira’s own off-river costs. </w:t>
      </w:r>
      <w:r>
        <w:t xml:space="preserve">The hypothetical bill analysis makes the following assumptions to separate the WaterNSW and DPI </w:t>
      </w:r>
      <w:r w:rsidR="00E459B9">
        <w:t xml:space="preserve">Water </w:t>
      </w:r>
      <w:r>
        <w:t>charge components within each of the two relevant Moira charges.</w:t>
      </w:r>
    </w:p>
    <w:p w:rsidR="00897AA5" w:rsidRDefault="00897AA5" w:rsidP="00DA47C0">
      <w:pPr>
        <w:pStyle w:val="Bulletpoint"/>
      </w:pPr>
      <w:r>
        <w:t xml:space="preserve">Administration operating costs – </w:t>
      </w:r>
      <w:r w:rsidR="00D05262">
        <w:t xml:space="preserve">assume </w:t>
      </w:r>
      <w:r>
        <w:t xml:space="preserve">the actual WaterNSW </w:t>
      </w:r>
      <w:r w:rsidR="00FF1D7A">
        <w:t>($2.66</w:t>
      </w:r>
      <w:r w:rsidR="00D80714">
        <w:t>/ML</w:t>
      </w:r>
      <w:r w:rsidR="00FF1D7A">
        <w:t xml:space="preserve">) </w:t>
      </w:r>
      <w:r>
        <w:t xml:space="preserve">and DPI </w:t>
      </w:r>
      <w:r w:rsidR="00E459B9">
        <w:t xml:space="preserve">Water </w:t>
      </w:r>
      <w:r w:rsidR="00FF1D7A">
        <w:t>($1.50</w:t>
      </w:r>
      <w:r w:rsidR="00D80714">
        <w:t>/ML</w:t>
      </w:r>
      <w:r w:rsidR="00FF1D7A">
        <w:t xml:space="preserve">) </w:t>
      </w:r>
      <w:r>
        <w:t>fixed charges are fully passed through to Moira customers as part of the administration operating costs. The</w:t>
      </w:r>
      <w:r w:rsidR="00D05262">
        <w:t>n, the</w:t>
      </w:r>
      <w:r>
        <w:t xml:space="preserve"> difference between the </w:t>
      </w:r>
      <w:r w:rsidR="00D05262">
        <w:t xml:space="preserve">sum of the </w:t>
      </w:r>
      <w:r>
        <w:t xml:space="preserve">actual WaterNSW and DPI </w:t>
      </w:r>
      <w:r w:rsidR="00E459B9">
        <w:t xml:space="preserve">Water </w:t>
      </w:r>
      <w:r>
        <w:t>fixed charges and the administration operating costs</w:t>
      </w:r>
      <w:r w:rsidR="00D05262">
        <w:t xml:space="preserve"> charge</w:t>
      </w:r>
      <w:r>
        <w:t xml:space="preserve"> is </w:t>
      </w:r>
      <w:r w:rsidR="00D05262">
        <w:t xml:space="preserve">assumed </w:t>
      </w:r>
      <w:r>
        <w:t>to be Moira’s fixed off-river infrastructure charge</w:t>
      </w:r>
      <w:r w:rsidR="00D80714">
        <w:t xml:space="preserve"> ($10.84/ML)</w:t>
      </w:r>
      <w:r>
        <w:t>.</w:t>
      </w:r>
    </w:p>
    <w:p w:rsidR="00897AA5" w:rsidRDefault="003F5C53" w:rsidP="00DA47C0">
      <w:pPr>
        <w:pStyle w:val="Bulletpoint"/>
      </w:pPr>
      <w:r>
        <w:t>Government variable charges</w:t>
      </w:r>
      <w:r w:rsidR="00897AA5">
        <w:t xml:space="preserve"> – the </w:t>
      </w:r>
      <w:r w:rsidR="00F66BC7">
        <w:t xml:space="preserve">government charge listed on Moira’s schedule ($7.85/ML) exceeds the sum of the </w:t>
      </w:r>
      <w:r w:rsidR="00897AA5">
        <w:t xml:space="preserve">actual WaterNSW </w:t>
      </w:r>
      <w:r w:rsidR="00F66BC7">
        <w:t xml:space="preserve">charge </w:t>
      </w:r>
      <w:r w:rsidR="00D80714">
        <w:t xml:space="preserve">($6.40/ML) </w:t>
      </w:r>
      <w:r w:rsidR="00897AA5">
        <w:t xml:space="preserve">and DPI </w:t>
      </w:r>
      <w:r w:rsidR="00D80714">
        <w:t xml:space="preserve">Water </w:t>
      </w:r>
      <w:r w:rsidR="00F66BC7">
        <w:t xml:space="preserve">charge </w:t>
      </w:r>
      <w:r w:rsidR="00D80714">
        <w:t>($0.97/ML)</w:t>
      </w:r>
      <w:r w:rsidR="00897AA5">
        <w:t xml:space="preserve">. </w:t>
      </w:r>
      <w:r w:rsidR="00801FA0">
        <w:t xml:space="preserve">For the hypothetical bills, the government charge listed by Moira has been separated into WaterNSW and DPI Water components </w:t>
      </w:r>
      <w:r w:rsidR="00D05262">
        <w:t xml:space="preserve">using the ratio of the </w:t>
      </w:r>
      <w:r w:rsidR="00801FA0">
        <w:t xml:space="preserve">actual </w:t>
      </w:r>
      <w:r w:rsidR="00D05262">
        <w:t xml:space="preserve">fixed </w:t>
      </w:r>
      <w:r w:rsidR="00801FA0">
        <w:t xml:space="preserve">WaterNSW </w:t>
      </w:r>
      <w:r w:rsidR="00D05262">
        <w:t xml:space="preserve">charge relative to the actual </w:t>
      </w:r>
      <w:r w:rsidR="00801FA0">
        <w:t>DPI Water</w:t>
      </w:r>
      <w:r w:rsidR="00D05262">
        <w:t xml:space="preserve"> fixed charge</w:t>
      </w:r>
      <w:r w:rsidR="00C3676E">
        <w:t>.</w:t>
      </w:r>
      <w:r w:rsidR="00801FA0">
        <w:t xml:space="preserve"> </w:t>
      </w:r>
      <w:r w:rsidR="00897AA5">
        <w:t xml:space="preserve"> </w:t>
      </w:r>
    </w:p>
    <w:p w:rsidR="00897AA5" w:rsidRDefault="00897AA5" w:rsidP="00897AA5">
      <w:pPr>
        <w:pStyle w:val="Heading4"/>
        <w:keepNext/>
      </w:pPr>
      <w:bookmarkStart w:id="141" w:name="_Toc418071367"/>
      <w:r>
        <w:t>Hypothetical termination fee</w:t>
      </w:r>
      <w:bookmarkEnd w:id="141"/>
    </w:p>
    <w:p w:rsidR="00897AA5" w:rsidRDefault="00897AA5" w:rsidP="00897AA5">
      <w:r>
        <w:t>The hypothetical termination fees are calculated assuming 250 ML of water delivery right is held, with either 50 or 100 per cent of this volume terminated.</w:t>
      </w:r>
    </w:p>
    <w:p w:rsidR="00897AA5" w:rsidRDefault="00897AA5" w:rsidP="00897AA5">
      <w:r>
        <w:t xml:space="preserve">The </w:t>
      </w:r>
      <w:r w:rsidR="001C3657">
        <w:t>2015−16</w:t>
      </w:r>
      <w:r w:rsidR="00E9224B">
        <w:t xml:space="preserve"> </w:t>
      </w:r>
      <w:r>
        <w:t xml:space="preserve">analysis uses the </w:t>
      </w:r>
      <w:r w:rsidR="00E265CE">
        <w:t xml:space="preserve">(GST exclusive) </w:t>
      </w:r>
      <w:r>
        <w:t xml:space="preserve">termination fee </w:t>
      </w:r>
      <w:r w:rsidR="00E265CE">
        <w:t xml:space="preserve">listed </w:t>
      </w:r>
      <w:r>
        <w:t>on Moira’s schedule of charges.</w:t>
      </w:r>
    </w:p>
    <w:p w:rsidR="00897AA5" w:rsidRPr="00850E67" w:rsidRDefault="001C3657" w:rsidP="00A63D8E">
      <w:pPr>
        <w:pStyle w:val="Heading4"/>
        <w:keepNext/>
      </w:pPr>
      <w:r>
        <w:t>2015−16</w:t>
      </w:r>
      <w:r w:rsidR="00897AA5" w:rsidRPr="00850E67">
        <w:t xml:space="preserve"> Schedule of charges</w:t>
      </w:r>
    </w:p>
    <w:p w:rsidR="00897AA5" w:rsidRDefault="002F2902" w:rsidP="00897AA5">
      <w:r>
        <w:t xml:space="preserve">Moira provided the </w:t>
      </w:r>
      <w:r w:rsidR="00ED47C2">
        <w:t>schedule of</w:t>
      </w:r>
      <w:r>
        <w:t xml:space="preserve"> charges below to the ACCC as part of its response to the ACCC’s request for information.</w:t>
      </w:r>
      <w:r w:rsidR="00897AA5">
        <w:t xml:space="preserve"> </w:t>
      </w:r>
    </w:p>
    <w:p w:rsidR="00897AA5" w:rsidRPr="00CB1B45" w:rsidRDefault="003C515E" w:rsidP="00897AA5">
      <w:r>
        <w:rPr>
          <w:noProof/>
          <w:lang w:eastAsia="en-AU"/>
        </w:rPr>
        <w:lastRenderedPageBreak/>
        <w:drawing>
          <wp:inline distT="0" distB="0" distL="0" distR="0" wp14:anchorId="174A11D7" wp14:editId="0F9B2D90">
            <wp:extent cx="5731510" cy="7347477"/>
            <wp:effectExtent l="0" t="0" r="2540" b="6350"/>
            <wp:docPr id="25" name="Picture 1" descr="Schedule of Charges of Moira Private Irrigation District used by the ACCC to prepare hypothetical bills for the 2015-16 water year." title="Moira Private Irrigation District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1"/>
                    <a:stretch>
                      <a:fillRect/>
                    </a:stretch>
                  </pic:blipFill>
                  <pic:spPr>
                    <a:xfrm>
                      <a:off x="0" y="0"/>
                      <a:ext cx="5731510" cy="7347477"/>
                    </a:xfrm>
                    <a:prstGeom prst="rect">
                      <a:avLst/>
                    </a:prstGeom>
                  </pic:spPr>
                </pic:pic>
              </a:graphicData>
            </a:graphic>
          </wp:inline>
        </w:drawing>
      </w:r>
    </w:p>
    <w:p w:rsidR="00897AA5" w:rsidRDefault="00897AA5" w:rsidP="00736EBA">
      <w:pPr>
        <w:pStyle w:val="Numbered111"/>
      </w:pPr>
      <w:bookmarkStart w:id="142" w:name="_Toc418071368"/>
      <w:bookmarkStart w:id="143" w:name="_Toc418495365"/>
      <w:bookmarkStart w:id="144" w:name="_Toc447900610"/>
      <w:bookmarkStart w:id="145" w:name="_Toc449693000"/>
      <w:bookmarkStart w:id="146" w:name="_Toc485303357"/>
      <w:r>
        <w:t>Murray Irrigation Limited (MIL), NSW Murray</w:t>
      </w:r>
      <w:bookmarkEnd w:id="142"/>
      <w:bookmarkEnd w:id="143"/>
      <w:bookmarkEnd w:id="144"/>
      <w:bookmarkEnd w:id="145"/>
      <w:bookmarkEnd w:id="146"/>
    </w:p>
    <w:p w:rsidR="00897AA5" w:rsidRDefault="00897AA5" w:rsidP="00897AA5">
      <w:pPr>
        <w:pStyle w:val="Heading4"/>
        <w:keepNext/>
      </w:pPr>
      <w:bookmarkStart w:id="147" w:name="_Toc418071369"/>
      <w:r>
        <w:t>Off-river IO hypothetical bill</w:t>
      </w:r>
    </w:p>
    <w:bookmarkEnd w:id="147"/>
    <w:p w:rsidR="00897AA5" w:rsidRDefault="00897AA5" w:rsidP="00897AA5">
      <w:r>
        <w:t>The analysis assumes one irrigator in MIL’s B1 Class C network</w:t>
      </w:r>
      <w:r w:rsidR="00C3676E">
        <w:rPr>
          <w:rStyle w:val="FootnoteReference"/>
        </w:rPr>
        <w:footnoteReference w:id="55"/>
      </w:r>
      <w:r>
        <w:t xml:space="preserve"> who: </w:t>
      </w:r>
    </w:p>
    <w:p w:rsidR="00897AA5" w:rsidRDefault="00897AA5" w:rsidP="00DA47C0">
      <w:pPr>
        <w:pStyle w:val="Bulletpoint"/>
      </w:pPr>
      <w:r>
        <w:lastRenderedPageBreak/>
        <w:t xml:space="preserve">holds a specific volume of general security irrigation right (50 ML, 250 ML or 1000 ML) and </w:t>
      </w:r>
    </w:p>
    <w:p w:rsidR="00897AA5" w:rsidRDefault="00897AA5" w:rsidP="00DA47C0">
      <w:pPr>
        <w:pStyle w:val="Bulletpoint"/>
      </w:pPr>
      <w:r>
        <w:t>holds an equivalent amount of delivery entitlement (50 ML, 250 ML or 1000 ML, respectively).</w:t>
      </w:r>
    </w:p>
    <w:p w:rsidR="00897AA5" w:rsidRDefault="00897AA5" w:rsidP="00897AA5">
      <w:r>
        <w:t xml:space="preserve">The </w:t>
      </w:r>
      <w:r w:rsidR="001C3657">
        <w:t>2015−16</w:t>
      </w:r>
      <w:r>
        <w:t xml:space="preserve"> hypothetical bill analysis includes the following charges listed on MIL’s schedule of charges. </w:t>
      </w:r>
    </w:p>
    <w:p w:rsidR="00897AA5" w:rsidRDefault="00897AA5" w:rsidP="00897AA5">
      <w:r>
        <w:t>Fixed:</w:t>
      </w:r>
    </w:p>
    <w:p w:rsidR="00897AA5" w:rsidRDefault="00897AA5" w:rsidP="00DA47C0">
      <w:pPr>
        <w:pStyle w:val="Bulletpoint"/>
      </w:pPr>
      <w:r>
        <w:t>account administration fee – maximum</w:t>
      </w:r>
      <w:r w:rsidR="00D05262">
        <w:t xml:space="preserve"> (levied per account)</w:t>
      </w:r>
    </w:p>
    <w:p w:rsidR="00897AA5" w:rsidRDefault="00897AA5" w:rsidP="00DA47C0">
      <w:pPr>
        <w:pStyle w:val="Bulletpoint"/>
      </w:pPr>
      <w:r>
        <w:t>water entitlement fee Class C general security</w:t>
      </w:r>
      <w:r w:rsidR="00D05262">
        <w:t xml:space="preserve"> (levied per ML of ‘water entitlement’ (irrigation right) held)</w:t>
      </w:r>
    </w:p>
    <w:p w:rsidR="00897AA5" w:rsidRDefault="00897AA5" w:rsidP="00DA47C0">
      <w:pPr>
        <w:pStyle w:val="Bulletpoint"/>
      </w:pPr>
      <w:r>
        <w:t>landholding access fee</w:t>
      </w:r>
      <w:r w:rsidR="00D05262">
        <w:t xml:space="preserve"> (levied per landholding)</w:t>
      </w:r>
    </w:p>
    <w:p w:rsidR="00897AA5" w:rsidRDefault="00897AA5" w:rsidP="00DA47C0">
      <w:pPr>
        <w:pStyle w:val="Bulletpoint"/>
      </w:pPr>
      <w:r>
        <w:t>large irrigation outlet fee</w:t>
      </w:r>
      <w:r w:rsidR="00D05262">
        <w:t xml:space="preserve"> (levied per large irrigation outlet)</w:t>
      </w:r>
    </w:p>
    <w:p w:rsidR="00BA3ECC" w:rsidRDefault="00897AA5" w:rsidP="00DA47C0">
      <w:pPr>
        <w:pStyle w:val="Bulletpoint"/>
      </w:pPr>
      <w:r>
        <w:t>delivery entitlement fee</w:t>
      </w:r>
      <w:r w:rsidR="00D05262">
        <w:t xml:space="preserve"> (levied per ML of ‘delivery entitlement’ (water delivery right) held)</w:t>
      </w:r>
    </w:p>
    <w:p w:rsidR="00BA3ECC" w:rsidRDefault="00BA3ECC" w:rsidP="00DA47C0">
      <w:pPr>
        <w:pStyle w:val="Bulletpoint"/>
      </w:pPr>
      <w:r>
        <w:t>drainage fixed fee</w:t>
      </w:r>
      <w:r w:rsidR="00A55BC9">
        <w:t xml:space="preserve"> (levied per ML of ‘delivery entitlement’ (water delivery right) held)</w:t>
      </w:r>
    </w:p>
    <w:p w:rsidR="00897AA5" w:rsidRDefault="00897AA5" w:rsidP="00897AA5">
      <w:r>
        <w:t xml:space="preserve">Variable: </w:t>
      </w:r>
    </w:p>
    <w:p w:rsidR="00897AA5" w:rsidRDefault="004E073D" w:rsidP="00DA47C0">
      <w:pPr>
        <w:pStyle w:val="Bulletpoint"/>
      </w:pPr>
      <w:r>
        <w:t xml:space="preserve">Standard water usage fee - </w:t>
      </w:r>
      <w:r w:rsidR="00897AA5">
        <w:t xml:space="preserve">Government </w:t>
      </w:r>
      <w:r>
        <w:t xml:space="preserve">charges recovery - </w:t>
      </w:r>
      <w:r w:rsidR="00897AA5">
        <w:t xml:space="preserve">Tier 1 variable fee </w:t>
      </w:r>
      <w:r w:rsidR="00A55BC9">
        <w:t>(levied per ML of water delivered in tier)</w:t>
      </w:r>
    </w:p>
    <w:p w:rsidR="004E073D" w:rsidRDefault="004E073D" w:rsidP="00DA47C0">
      <w:pPr>
        <w:pStyle w:val="Bulletpoint"/>
      </w:pPr>
      <w:r>
        <w:t xml:space="preserve">Standard water usage fee - Government charges recovery - Tier 2 variable fee </w:t>
      </w:r>
      <w:r w:rsidR="00A55BC9">
        <w:t>(as above)</w:t>
      </w:r>
    </w:p>
    <w:p w:rsidR="004E073D" w:rsidRDefault="004E073D" w:rsidP="00DA47C0">
      <w:pPr>
        <w:pStyle w:val="Bulletpoint"/>
      </w:pPr>
      <w:r>
        <w:t xml:space="preserve">Standard water usage fee - Government charges recovery - Tier 3 variable fee </w:t>
      </w:r>
      <w:r w:rsidR="00A55BC9">
        <w:t>(as above)</w:t>
      </w:r>
    </w:p>
    <w:p w:rsidR="00897AA5" w:rsidRDefault="004E073D" w:rsidP="00DA47C0">
      <w:pPr>
        <w:pStyle w:val="Bulletpoint"/>
      </w:pPr>
      <w:r>
        <w:t xml:space="preserve">Standard water usage fee - </w:t>
      </w:r>
      <w:r w:rsidR="00897AA5">
        <w:t xml:space="preserve">MIL Tier 1 variable fee </w:t>
      </w:r>
      <w:r w:rsidR="00A55BC9">
        <w:t>(as above)</w:t>
      </w:r>
    </w:p>
    <w:p w:rsidR="00897AA5" w:rsidRDefault="004E073D" w:rsidP="00DA47C0">
      <w:pPr>
        <w:pStyle w:val="Bulletpoint"/>
      </w:pPr>
      <w:r>
        <w:t xml:space="preserve">Standard water usage fee - </w:t>
      </w:r>
      <w:r w:rsidR="00897AA5">
        <w:t xml:space="preserve">MIL Tier 2 variable fee </w:t>
      </w:r>
      <w:r w:rsidR="00A55BC9">
        <w:t>(as above)</w:t>
      </w:r>
    </w:p>
    <w:p w:rsidR="00897AA5" w:rsidRDefault="004E073D" w:rsidP="00DA47C0">
      <w:pPr>
        <w:pStyle w:val="Bulletpoint"/>
      </w:pPr>
      <w:r>
        <w:t xml:space="preserve">Standard water usage fee - </w:t>
      </w:r>
      <w:r w:rsidR="00897AA5">
        <w:t xml:space="preserve">MIL Tier 3 variable fee </w:t>
      </w:r>
      <w:r w:rsidR="00A55BC9">
        <w:t>(as above)</w:t>
      </w:r>
    </w:p>
    <w:p w:rsidR="00897AA5" w:rsidRDefault="00897AA5" w:rsidP="00DA47C0">
      <w:pPr>
        <w:pStyle w:val="Bulletpoint"/>
      </w:pPr>
      <w:r>
        <w:t>drainage variable fee</w:t>
      </w:r>
      <w:r w:rsidR="00A55BC9">
        <w:t xml:space="preserve"> (levied per ML of water delivered)</w:t>
      </w:r>
      <w:r w:rsidR="00C6472E">
        <w:t>.</w:t>
      </w:r>
    </w:p>
    <w:p w:rsidR="00897AA5" w:rsidRDefault="00897AA5" w:rsidP="00897AA5">
      <w:r>
        <w:t xml:space="preserve">The water entitlement fee Class C general security and the Government </w:t>
      </w:r>
      <w:r w:rsidR="00F816CE">
        <w:t xml:space="preserve">charges recovery </w:t>
      </w:r>
      <w:r>
        <w:t xml:space="preserve">Tier 1, 2 and 3 variable fees include WaterNSW and DPI </w:t>
      </w:r>
      <w:r w:rsidR="002E14E2">
        <w:t xml:space="preserve">Water </w:t>
      </w:r>
      <w:r>
        <w:t xml:space="preserve">fixed and variable charges. </w:t>
      </w:r>
    </w:p>
    <w:p w:rsidR="00897AA5" w:rsidRDefault="00897AA5" w:rsidP="00897AA5">
      <w:r>
        <w:t>The analysis makes the following assumptions to account for the way in which some charges are levied</w:t>
      </w:r>
      <w:r w:rsidR="004F54F6">
        <w:t>:</w:t>
      </w:r>
      <w:r>
        <w:t xml:space="preserve"> </w:t>
      </w:r>
    </w:p>
    <w:p w:rsidR="00897AA5" w:rsidRDefault="00897AA5" w:rsidP="00DA47C0">
      <w:pPr>
        <w:pStyle w:val="Bulletpoint"/>
      </w:pPr>
      <w:r>
        <w:t>Each irrigator operates a single property, incurring the landholding access fee once</w:t>
      </w:r>
    </w:p>
    <w:p w:rsidR="00897AA5" w:rsidRDefault="00897AA5" w:rsidP="00DA47C0">
      <w:pPr>
        <w:pStyle w:val="Bulletpoint"/>
      </w:pPr>
      <w:r>
        <w:t>Each irrigator has one account, incurring the account administration fee once</w:t>
      </w:r>
    </w:p>
    <w:p w:rsidR="00897AA5" w:rsidRDefault="00897AA5" w:rsidP="00DA47C0">
      <w:pPr>
        <w:pStyle w:val="Bulletpoint"/>
      </w:pPr>
      <w:r>
        <w:t xml:space="preserve">Irrigators with 50 ML and 250 ML </w:t>
      </w:r>
      <w:r w:rsidR="001A0696">
        <w:t xml:space="preserve">of water delivery right </w:t>
      </w:r>
      <w:r>
        <w:t>have one large irrigation outlet, incurring the large irrigation outlet fee once</w:t>
      </w:r>
    </w:p>
    <w:p w:rsidR="00897AA5" w:rsidRDefault="00897AA5" w:rsidP="00DA47C0">
      <w:pPr>
        <w:pStyle w:val="Bulletpoint"/>
      </w:pPr>
      <w:r>
        <w:t xml:space="preserve">Irrigators with 1000 ML </w:t>
      </w:r>
      <w:r w:rsidR="001A0696">
        <w:t xml:space="preserve">of water delivery right </w:t>
      </w:r>
      <w:r>
        <w:t>have two large irrigation outlets, incurring the large irrigation outlet fee twice.</w:t>
      </w:r>
    </w:p>
    <w:p w:rsidR="00F816CE" w:rsidRDefault="00850512" w:rsidP="00897AA5">
      <w:pPr>
        <w:keepNext/>
      </w:pPr>
      <w:r>
        <w:lastRenderedPageBreak/>
        <w:t>T</w:t>
      </w:r>
      <w:r w:rsidR="00F816CE">
        <w:t xml:space="preserve">he </w:t>
      </w:r>
      <w:r w:rsidR="00164E1A">
        <w:t xml:space="preserve">water entitlement </w:t>
      </w:r>
      <w:r w:rsidR="00F816CE">
        <w:t xml:space="preserve">Class C charge ($4.16/ML) is </w:t>
      </w:r>
      <w:r>
        <w:t>presented on the MIL schedule as a combined government charge</w:t>
      </w:r>
      <w:r w:rsidR="00444351">
        <w:t xml:space="preserve"> relating to general security </w:t>
      </w:r>
      <w:r w:rsidR="00A55BC9">
        <w:t>‘</w:t>
      </w:r>
      <w:r w:rsidR="00444351">
        <w:t>water entitlements</w:t>
      </w:r>
      <w:r w:rsidR="00A55BC9">
        <w:t>’ (irrigation rights)</w:t>
      </w:r>
      <w:r w:rsidR="00444351">
        <w:t xml:space="preserve"> and</w:t>
      </w:r>
      <w:r>
        <w:t xml:space="preserve"> equals </w:t>
      </w:r>
      <w:r w:rsidR="00F816CE">
        <w:t xml:space="preserve">the sum of </w:t>
      </w:r>
      <w:r>
        <w:t xml:space="preserve">the </w:t>
      </w:r>
      <w:r w:rsidR="00F816CE">
        <w:t>actual WaterNSW ($2.66/ML) and DPI Water ($1.50/ML) fixed general security charges.</w:t>
      </w:r>
      <w:r>
        <w:t xml:space="preserve"> Therefore in calculating the hypothetical bill, this analysis separates th</w:t>
      </w:r>
      <w:r w:rsidR="00A55BC9">
        <w:t>is</w:t>
      </w:r>
      <w:r>
        <w:t xml:space="preserve"> charge into th</w:t>
      </w:r>
      <w:r w:rsidR="00A55BC9">
        <w:t>e</w:t>
      </w:r>
      <w:r>
        <w:t>se WaterNSW and DPI Water components.</w:t>
      </w:r>
    </w:p>
    <w:p w:rsidR="00F816CE" w:rsidRDefault="00F816CE" w:rsidP="00897AA5">
      <w:pPr>
        <w:keepNext/>
      </w:pPr>
      <w:r>
        <w:t xml:space="preserve">Separating the WaterNSW and DPI Water variable charges from MIL variable charges is more difficult </w:t>
      </w:r>
      <w:r w:rsidR="00A55BC9">
        <w:t xml:space="preserve">due to </w:t>
      </w:r>
      <w:r>
        <w:t xml:space="preserve">the tiered nature of </w:t>
      </w:r>
      <w:r w:rsidR="00A55BC9">
        <w:t>MIL’s ‘</w:t>
      </w:r>
      <w:r>
        <w:t>government charges recovery</w:t>
      </w:r>
      <w:r w:rsidR="00A55BC9">
        <w:t>’</w:t>
      </w:r>
      <w:r>
        <w:t xml:space="preserve"> </w:t>
      </w:r>
      <w:r w:rsidR="00A55BC9">
        <w:t>charge</w:t>
      </w:r>
      <w:r w:rsidR="00850512">
        <w:t xml:space="preserve">. </w:t>
      </w:r>
      <w:r w:rsidR="00A55BC9">
        <w:t>Whereas MIL incurs DPI Water and WaterNSW variable charges at</w:t>
      </w:r>
      <w:r>
        <w:t xml:space="preserve"> a constant rate per ML of usage, </w:t>
      </w:r>
      <w:r w:rsidR="006A2EE5">
        <w:t>MIL</w:t>
      </w:r>
      <w:r w:rsidR="00A55BC9">
        <w:t xml:space="preserve"> recovers these costs from customers using a tiered ‘</w:t>
      </w:r>
      <w:r w:rsidR="006A2EE5">
        <w:t>government charges recovery</w:t>
      </w:r>
      <w:r w:rsidR="00A55BC9">
        <w:t>’ charge, which</w:t>
      </w:r>
      <w:r w:rsidR="006A2EE5">
        <w:t xml:space="preserve"> decreases </w:t>
      </w:r>
      <w:r w:rsidR="00A55BC9">
        <w:t xml:space="preserve">as </w:t>
      </w:r>
      <w:r w:rsidR="006A2EE5">
        <w:t>usage</w:t>
      </w:r>
      <w:r w:rsidR="00A55BC9">
        <w:t xml:space="preserve"> increases (i.e. a declining block tariff)</w:t>
      </w:r>
      <w:r w:rsidR="006A2EE5">
        <w:t>.</w:t>
      </w:r>
      <w:r>
        <w:t xml:space="preserve">  </w:t>
      </w:r>
    </w:p>
    <w:p w:rsidR="00897AA5" w:rsidRDefault="00A55BC9" w:rsidP="00897AA5">
      <w:pPr>
        <w:keepNext/>
      </w:pPr>
      <w:r>
        <w:t xml:space="preserve">MIL also applies a declining tiered structure to its own variable charges. The </w:t>
      </w:r>
      <w:r w:rsidR="00897AA5">
        <w:t xml:space="preserve">tiered system </w:t>
      </w:r>
      <w:r>
        <w:t xml:space="preserve">has </w:t>
      </w:r>
      <w:r w:rsidR="00897AA5">
        <w:t>the following structure:</w:t>
      </w:r>
    </w:p>
    <w:p w:rsidR="00897AA5" w:rsidRDefault="00897AA5" w:rsidP="00DA47C0">
      <w:pPr>
        <w:pStyle w:val="Bulletpoint"/>
      </w:pPr>
      <w:r>
        <w:t>Tier 1: 0−5 ML</w:t>
      </w:r>
    </w:p>
    <w:p w:rsidR="00897AA5" w:rsidRDefault="00897AA5" w:rsidP="00DA47C0">
      <w:pPr>
        <w:pStyle w:val="Bulletpoint"/>
      </w:pPr>
      <w:r>
        <w:t>Tier 2: 6−100 ML</w:t>
      </w:r>
    </w:p>
    <w:p w:rsidR="00897AA5" w:rsidRDefault="00897AA5" w:rsidP="00DA47C0">
      <w:pPr>
        <w:pStyle w:val="Bulletpoint"/>
      </w:pPr>
      <w:r>
        <w:t>Tier 3: &gt;100 ML</w:t>
      </w:r>
    </w:p>
    <w:p w:rsidR="00897AA5" w:rsidRDefault="00897AA5" w:rsidP="00897AA5">
      <w:r>
        <w:t xml:space="preserve">Charges are imposed against the tiers starting at Tier 1. For example, for an irrigator with 250 ML water access entitlement who has 100 per cent water delivered, the irrigator would pay for 5 ML at Tier 1 charges, 95 ML at Tier 2 charges and the remaining 150 ML at Tier 3 charges. </w:t>
      </w:r>
    </w:p>
    <w:p w:rsidR="00897AA5" w:rsidRDefault="006A2EE5" w:rsidP="003F1051">
      <w:r>
        <w:t>T</w:t>
      </w:r>
      <w:r w:rsidR="00897AA5">
        <w:t xml:space="preserve">o separate the DPI </w:t>
      </w:r>
      <w:r w:rsidR="002E14E2">
        <w:t xml:space="preserve">Water </w:t>
      </w:r>
      <w:r w:rsidR="00897AA5">
        <w:t xml:space="preserve">and WaterNSW charge components of government </w:t>
      </w:r>
      <w:r>
        <w:t>charges recovery (</w:t>
      </w:r>
      <w:r w:rsidR="00897AA5">
        <w:t>variable</w:t>
      </w:r>
      <w:r>
        <w:t>)</w:t>
      </w:r>
      <w:r w:rsidR="00897AA5">
        <w:t xml:space="preserve"> fee (Tier 1, 2 and 3)</w:t>
      </w:r>
      <w:r>
        <w:t xml:space="preserve">, the </w:t>
      </w:r>
      <w:r w:rsidR="004F54F6">
        <w:t xml:space="preserve">hypothetical bill analysis </w:t>
      </w:r>
      <w:r w:rsidR="00897AA5">
        <w:t>calculate</w:t>
      </w:r>
      <w:r>
        <w:t xml:space="preserve">s a ratio </w:t>
      </w:r>
      <w:r w:rsidR="00897AA5">
        <w:t xml:space="preserve">of the actual WaterNSW and DPI </w:t>
      </w:r>
      <w:r w:rsidR="002E14E2">
        <w:t xml:space="preserve">Water </w:t>
      </w:r>
      <w:r w:rsidR="00897AA5">
        <w:t>usage charges</w:t>
      </w:r>
      <w:r>
        <w:rPr>
          <w:rStyle w:val="FootnoteReference"/>
        </w:rPr>
        <w:footnoteReference w:id="56"/>
      </w:r>
      <w:r w:rsidR="00897AA5">
        <w:t>. This ratio is then applied to each tier of the government variable fee to determine the amount of the charge (for each tier) that recovers the WaterNSW usage charge and the amount recovering the DPI usage charge.</w:t>
      </w:r>
      <w:r w:rsidR="00897AA5">
        <w:rPr>
          <w:rStyle w:val="FootnoteReference"/>
        </w:rPr>
        <w:footnoteReference w:id="57"/>
      </w:r>
      <w:r w:rsidR="00897AA5">
        <w:t xml:space="preserve"> </w:t>
      </w:r>
    </w:p>
    <w:p w:rsidR="00897AA5" w:rsidRDefault="00897AA5" w:rsidP="00897AA5">
      <w:pPr>
        <w:pStyle w:val="Heading4"/>
        <w:keepNext/>
      </w:pPr>
      <w:bookmarkStart w:id="148" w:name="_Toc418071370"/>
      <w:r>
        <w:t>Hypothetical termination fee</w:t>
      </w:r>
      <w:bookmarkEnd w:id="148"/>
    </w:p>
    <w:p w:rsidR="00897AA5" w:rsidRDefault="00897AA5" w:rsidP="00897AA5">
      <w:r>
        <w:t>The hypothetical termination fee is calculated assuming 250 ML of general security delivery entitlement, with either 50 or 100 per cent of this volume terminated.</w:t>
      </w:r>
    </w:p>
    <w:p w:rsidR="00897AA5" w:rsidRDefault="00897AA5" w:rsidP="00897AA5">
      <w:r>
        <w:t xml:space="preserve">The </w:t>
      </w:r>
      <w:r w:rsidR="001C3657">
        <w:t>2015−16</w:t>
      </w:r>
      <w:r>
        <w:t xml:space="preserve"> hypothetical termination fee analysis includes the following (GST exclusive) charges listed on MIL’s schedule of charges: </w:t>
      </w:r>
    </w:p>
    <w:p w:rsidR="00897AA5" w:rsidRDefault="00B31B92" w:rsidP="00DA47C0">
      <w:pPr>
        <w:pStyle w:val="Bulletpoint"/>
      </w:pPr>
      <w:r>
        <w:t xml:space="preserve">total </w:t>
      </w:r>
      <w:r w:rsidR="00897AA5">
        <w:t>delivery entitlement fee</w:t>
      </w:r>
      <w:r w:rsidR="005F35E5">
        <w:t xml:space="preserve"> </w:t>
      </w:r>
    </w:p>
    <w:p w:rsidR="00897AA5" w:rsidRDefault="00897AA5" w:rsidP="00DA47C0">
      <w:pPr>
        <w:pStyle w:val="Bulletpoint"/>
      </w:pPr>
      <w:r>
        <w:t>landholding access fee (for the 100 per cent termination scenario only)</w:t>
      </w:r>
    </w:p>
    <w:p w:rsidR="00897AA5" w:rsidRDefault="00897AA5" w:rsidP="00DA47C0">
      <w:pPr>
        <w:pStyle w:val="Bulletpoint"/>
      </w:pPr>
      <w:r>
        <w:t>large irrigation outlet (for the 100 per cent termination scenario only).</w:t>
      </w:r>
    </w:p>
    <w:p w:rsidR="00CD7F03" w:rsidRDefault="00CD7F03" w:rsidP="00897AA5">
      <w:r>
        <w:t xml:space="preserve">The dollar amount of each of these fixed charges (as applicable) is multiplied by ten and then added together </w:t>
      </w:r>
      <w:r w:rsidR="008E718D">
        <w:t>to form</w:t>
      </w:r>
      <w:r>
        <w:t xml:space="preserve"> the </w:t>
      </w:r>
      <w:r w:rsidR="008E718D">
        <w:t xml:space="preserve">total </w:t>
      </w:r>
      <w:r>
        <w:t xml:space="preserve">hypothetical </w:t>
      </w:r>
      <w:r w:rsidR="008E718D">
        <w:t>termination fee</w:t>
      </w:r>
      <w:r>
        <w:t>.</w:t>
      </w:r>
      <w:r w:rsidDel="00CD7F03">
        <w:t xml:space="preserve"> </w:t>
      </w:r>
    </w:p>
    <w:p w:rsidR="00897AA5" w:rsidRDefault="00897AA5" w:rsidP="00897AA5">
      <w:r w:rsidRPr="006A7748">
        <w:t>The</w:t>
      </w:r>
      <w:r w:rsidRPr="00392DCF">
        <w:t xml:space="preserve"> landholding</w:t>
      </w:r>
      <w:r>
        <w:t xml:space="preserve"> access fee and large irrigation outlet fee are only included in the </w:t>
      </w:r>
      <w:r w:rsidR="00143145">
        <w:t xml:space="preserve">termination fee </w:t>
      </w:r>
      <w:r>
        <w:t>when the irrigator terminates 100 per cent of their water delivery right</w:t>
      </w:r>
      <w:r w:rsidR="008E718D">
        <w:t xml:space="preserve">, </w:t>
      </w:r>
      <w:r w:rsidR="00143145">
        <w:t>because</w:t>
      </w:r>
      <w:r w:rsidR="008E718D">
        <w:t xml:space="preserve"> it is </w:t>
      </w:r>
      <w:r>
        <w:t xml:space="preserve">assumed </w:t>
      </w:r>
      <w:r w:rsidR="008E718D">
        <w:t xml:space="preserve">that the irrigator disconnects entirely from </w:t>
      </w:r>
      <w:r>
        <w:t>the network, thereby disconnecting their property and the outlet.</w:t>
      </w:r>
    </w:p>
    <w:p w:rsidR="00897AA5" w:rsidRDefault="001C3657" w:rsidP="00897AA5">
      <w:pPr>
        <w:pStyle w:val="Heading4"/>
        <w:keepNext/>
      </w:pPr>
      <w:bookmarkStart w:id="149" w:name="_Toc418071372"/>
      <w:bookmarkStart w:id="150" w:name="_Toc418495366"/>
      <w:r>
        <w:lastRenderedPageBreak/>
        <w:t>2015−16</w:t>
      </w:r>
      <w:r w:rsidR="00D716D5">
        <w:t xml:space="preserve"> </w:t>
      </w:r>
      <w:r w:rsidR="00897AA5">
        <w:t>Schedule of Charges</w:t>
      </w:r>
    </w:p>
    <w:p w:rsidR="00897AA5" w:rsidRDefault="00897AA5" w:rsidP="00897AA5">
      <w:r>
        <w:t xml:space="preserve">The ACCC sourced MIL’s schedule of charges from their </w:t>
      </w:r>
      <w:r w:rsidR="0051686D">
        <w:t>website:</w:t>
      </w:r>
      <w:r>
        <w:t xml:space="preserve"> </w:t>
      </w:r>
      <w:hyperlink r:id="rId72" w:history="1">
        <w:r w:rsidRPr="00C20DBD">
          <w:rPr>
            <w:rStyle w:val="Hyperlink"/>
          </w:rPr>
          <w:t>http://www.murrayirrigation.com.au/customers/fees-and-prices/</w:t>
        </w:r>
      </w:hyperlink>
      <w:r>
        <w:t xml:space="preserve">. </w:t>
      </w:r>
    </w:p>
    <w:p w:rsidR="00897AA5" w:rsidRDefault="003C515E" w:rsidP="00897AA5">
      <w:r>
        <w:rPr>
          <w:noProof/>
          <w:lang w:eastAsia="en-AU"/>
        </w:rPr>
        <w:lastRenderedPageBreak/>
        <w:drawing>
          <wp:inline distT="0" distB="0" distL="0" distR="0" wp14:anchorId="4F2FB997" wp14:editId="74EFAC3F">
            <wp:extent cx="5603240" cy="8229600"/>
            <wp:effectExtent l="0" t="0" r="0" b="0"/>
            <wp:docPr id="22" name="photo_1" descr="Schedule of Charges of Murray Irrigation Limited used by the ACCC to prepare hypothetical bills for the 2015-16 water year." title="Murray Irrigation Limited Schedule of Charges, 2015-16,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1"/>
                    <pic:cNvPicPr>
                      <a:picLocks noChangeAspect="1"/>
                    </pic:cNvPicPr>
                  </pic:nvPicPr>
                  <pic:blipFill>
                    <a:blip r:embed="rId73"/>
                    <a:stretch>
                      <a:fillRect/>
                    </a:stretch>
                  </pic:blipFill>
                  <pic:spPr>
                    <a:xfrm>
                      <a:off x="0" y="0"/>
                      <a:ext cx="5603240" cy="8229600"/>
                    </a:xfrm>
                    <a:prstGeom prst="rect">
                      <a:avLst/>
                    </a:prstGeom>
                  </pic:spPr>
                </pic:pic>
              </a:graphicData>
            </a:graphic>
          </wp:inline>
        </w:drawing>
      </w:r>
    </w:p>
    <w:p w:rsidR="003C515E" w:rsidRDefault="003C515E" w:rsidP="00736EBA">
      <w:bookmarkStart w:id="151" w:name="_Toc447900611"/>
      <w:bookmarkStart w:id="152" w:name="_Toc449693001"/>
      <w:r>
        <w:rPr>
          <w:noProof/>
          <w:lang w:eastAsia="en-AU"/>
        </w:rPr>
        <w:lastRenderedPageBreak/>
        <w:drawing>
          <wp:inline distT="0" distB="0" distL="0" distR="0" wp14:anchorId="29AFD749" wp14:editId="59E2E2A9">
            <wp:extent cx="5731510" cy="8120736"/>
            <wp:effectExtent l="0" t="0" r="2540" b="0"/>
            <wp:docPr id="23" name="photo_1" descr="Schedule of Charges of Murray Irrigation Limited used by the ACCC to prepare hypothetical bills for the 2015-16 water year." title="Murray Irrigation Limited Schedule of Charges, 2015-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1"/>
                    <pic:cNvPicPr>
                      <a:picLocks noChangeAspect="1"/>
                    </pic:cNvPicPr>
                  </pic:nvPicPr>
                  <pic:blipFill>
                    <a:blip r:embed="rId74"/>
                    <a:stretch>
                      <a:fillRect/>
                    </a:stretch>
                  </pic:blipFill>
                  <pic:spPr>
                    <a:xfrm>
                      <a:off x="0" y="0"/>
                      <a:ext cx="5731510" cy="8120736"/>
                    </a:xfrm>
                    <a:prstGeom prst="rect">
                      <a:avLst/>
                    </a:prstGeom>
                  </pic:spPr>
                </pic:pic>
              </a:graphicData>
            </a:graphic>
          </wp:inline>
        </w:drawing>
      </w:r>
    </w:p>
    <w:p w:rsidR="003C515E" w:rsidRPr="003C515E" w:rsidRDefault="003C515E" w:rsidP="003C515E">
      <w:r>
        <w:rPr>
          <w:noProof/>
          <w:lang w:eastAsia="en-AU"/>
        </w:rPr>
        <w:lastRenderedPageBreak/>
        <w:drawing>
          <wp:inline distT="0" distB="0" distL="0" distR="0" wp14:anchorId="701E50BF" wp14:editId="560CAA0B">
            <wp:extent cx="5731510" cy="6657982"/>
            <wp:effectExtent l="0" t="0" r="2540" b="9525"/>
            <wp:docPr id="24" name="Picture 4" descr="Schedule of Charges of Murray Irrigation Limited used by the ACCC to prepare hypothetical bills for the 2015-16 water year." title="Murray Irrigation Limited Schedule of Charges, 2015-16,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5"/>
                    <a:stretch>
                      <a:fillRect/>
                    </a:stretch>
                  </pic:blipFill>
                  <pic:spPr>
                    <a:xfrm>
                      <a:off x="0" y="0"/>
                      <a:ext cx="5731510" cy="6657982"/>
                    </a:xfrm>
                    <a:prstGeom prst="rect">
                      <a:avLst/>
                    </a:prstGeom>
                  </pic:spPr>
                </pic:pic>
              </a:graphicData>
            </a:graphic>
          </wp:inline>
        </w:drawing>
      </w:r>
    </w:p>
    <w:p w:rsidR="00897AA5" w:rsidRDefault="00897AA5" w:rsidP="00736EBA">
      <w:pPr>
        <w:pStyle w:val="Numbered111"/>
      </w:pPr>
      <w:bookmarkStart w:id="153" w:name="_Toc485303358"/>
      <w:r>
        <w:t>Eagle Creek Pumping Syndicate (Eagle Creek), NSW Murray</w:t>
      </w:r>
      <w:bookmarkEnd w:id="149"/>
      <w:bookmarkEnd w:id="150"/>
      <w:bookmarkEnd w:id="151"/>
      <w:bookmarkEnd w:id="152"/>
      <w:bookmarkEnd w:id="153"/>
    </w:p>
    <w:p w:rsidR="00897AA5" w:rsidRDefault="00897AA5" w:rsidP="00897AA5">
      <w:pPr>
        <w:pStyle w:val="Heading4"/>
        <w:keepNext/>
      </w:pPr>
      <w:bookmarkStart w:id="154" w:name="_Toc418071373"/>
      <w:r>
        <w:t>Off-river IO hypothetical bill</w:t>
      </w:r>
    </w:p>
    <w:bookmarkEnd w:id="154"/>
    <w:p w:rsidR="008E718D" w:rsidRDefault="008E718D" w:rsidP="00897AA5">
      <w:r>
        <w:t>Eagle Creek is a joint water supply scheme, meaning that customers jointly hold a single water access entitlement (rather than the operator holding the entitlement and customers holding irrigation rights).</w:t>
      </w:r>
    </w:p>
    <w:p w:rsidR="00897AA5" w:rsidRDefault="00897AA5" w:rsidP="00897AA5">
      <w:r>
        <w:t xml:space="preserve">The analysis assumes one irrigator in Eagle Creek’s network who: </w:t>
      </w:r>
    </w:p>
    <w:p w:rsidR="00897AA5" w:rsidRDefault="00897AA5" w:rsidP="00DA47C0">
      <w:pPr>
        <w:pStyle w:val="Bulletpoint"/>
      </w:pPr>
      <w:r>
        <w:t xml:space="preserve">holds a specific share of general security water access entitlement </w:t>
      </w:r>
      <w:r w:rsidR="008E718D">
        <w:t xml:space="preserve">(WAE) </w:t>
      </w:r>
      <w:r>
        <w:t xml:space="preserve">(50 ML, 250 ML or 1000 ML) and </w:t>
      </w:r>
    </w:p>
    <w:p w:rsidR="00897AA5" w:rsidRDefault="00ED47C2" w:rsidP="00DA47C0">
      <w:pPr>
        <w:pStyle w:val="Bulletpoint"/>
      </w:pPr>
      <w:r>
        <w:lastRenderedPageBreak/>
        <w:t>holds an equivalent amount of water delivery right (50 ML, 250 ML or 1000 ML, respectively).</w:t>
      </w:r>
    </w:p>
    <w:p w:rsidR="00897AA5" w:rsidRDefault="00897AA5" w:rsidP="00897AA5">
      <w:r>
        <w:t xml:space="preserve">The </w:t>
      </w:r>
      <w:r w:rsidR="001C3657">
        <w:t>2015−16</w:t>
      </w:r>
      <w:r w:rsidR="00A501E4">
        <w:t xml:space="preserve"> </w:t>
      </w:r>
      <w:r>
        <w:t xml:space="preserve">hypothetical bill analysis includes the following charges listed on Eagle Creek’s schedule of charges. </w:t>
      </w:r>
    </w:p>
    <w:p w:rsidR="00897AA5" w:rsidRDefault="00897AA5" w:rsidP="00897AA5">
      <w:r>
        <w:t>Fixed:</w:t>
      </w:r>
    </w:p>
    <w:p w:rsidR="00897AA5" w:rsidRDefault="00897AA5" w:rsidP="00DA47C0">
      <w:pPr>
        <w:pStyle w:val="Bulletpoint"/>
      </w:pPr>
      <w:r>
        <w:t>EC fixed charge</w:t>
      </w:r>
      <w:r w:rsidR="009226F0">
        <w:t>, General Security</w:t>
      </w:r>
      <w:r w:rsidR="008E718D">
        <w:t xml:space="preserve"> (levied per ML of share of WAE</w:t>
      </w:r>
      <w:r w:rsidR="00E16DAE">
        <w:t xml:space="preserve"> or water delivery right held)</w:t>
      </w:r>
      <w:r w:rsidR="008E718D">
        <w:rPr>
          <w:rStyle w:val="FootnoteReference"/>
        </w:rPr>
        <w:footnoteReference w:id="58"/>
      </w:r>
    </w:p>
    <w:p w:rsidR="00897AA5" w:rsidRDefault="00897AA5" w:rsidP="00DA47C0">
      <w:pPr>
        <w:pStyle w:val="Bulletpoint"/>
      </w:pPr>
      <w:r>
        <w:t>Government fixed charge</w:t>
      </w:r>
      <w:r w:rsidR="009226F0">
        <w:t>, General Security</w:t>
      </w:r>
      <w:r w:rsidR="00E16DAE">
        <w:t xml:space="preserve"> (levied per ML of share of WAE or water delivery right held)</w:t>
      </w:r>
    </w:p>
    <w:p w:rsidR="00897AA5" w:rsidRDefault="00897AA5" w:rsidP="00897AA5">
      <w:r>
        <w:t xml:space="preserve">Variable: </w:t>
      </w:r>
    </w:p>
    <w:p w:rsidR="00897AA5" w:rsidRDefault="00897AA5" w:rsidP="00DA47C0">
      <w:pPr>
        <w:pStyle w:val="Bulletpoint"/>
      </w:pPr>
      <w:r>
        <w:t>EC usage charge</w:t>
      </w:r>
      <w:r w:rsidR="00E16DAE">
        <w:t xml:space="preserve"> (levied per ML of water delivered)</w:t>
      </w:r>
    </w:p>
    <w:p w:rsidR="00897AA5" w:rsidRDefault="00897AA5" w:rsidP="00DA47C0">
      <w:pPr>
        <w:pStyle w:val="Bulletpoint"/>
      </w:pPr>
      <w:r>
        <w:t>Government usage charge</w:t>
      </w:r>
      <w:r w:rsidR="00E16DAE">
        <w:t xml:space="preserve"> (levied per ML of water delivered)</w:t>
      </w:r>
      <w:r w:rsidR="00AD4B69">
        <w:t>.</w:t>
      </w:r>
    </w:p>
    <w:p w:rsidR="00897AA5" w:rsidRDefault="00897AA5" w:rsidP="00897AA5">
      <w:r>
        <w:t xml:space="preserve">Eagle Creek’s </w:t>
      </w:r>
      <w:r w:rsidR="00004D68">
        <w:t xml:space="preserve">schedule shows a </w:t>
      </w:r>
      <w:r>
        <w:t xml:space="preserve">government fixed charge and </w:t>
      </w:r>
      <w:r w:rsidR="00B94497">
        <w:t xml:space="preserve">a </w:t>
      </w:r>
      <w:r>
        <w:t xml:space="preserve">government usage charge </w:t>
      </w:r>
      <w:r w:rsidR="00004D68">
        <w:t xml:space="preserve">which </w:t>
      </w:r>
      <w:r>
        <w:t xml:space="preserve">recover both WaterNSW and DPI </w:t>
      </w:r>
      <w:r w:rsidR="008F53EC">
        <w:t xml:space="preserve">Water </w:t>
      </w:r>
      <w:r>
        <w:t>charges imposed on Eagle Creek</w:t>
      </w:r>
      <w:r w:rsidR="0019461E">
        <w:t>.</w:t>
      </w:r>
      <w:r>
        <w:t xml:space="preserve"> </w:t>
      </w:r>
      <w:r w:rsidR="0019461E">
        <w:t xml:space="preserve">The hypothetical bill analysis makes the following assumptions to separate the WaterNSW and DPI </w:t>
      </w:r>
      <w:r w:rsidR="00AD4B69">
        <w:t xml:space="preserve">Water </w:t>
      </w:r>
      <w:r w:rsidR="0019461E">
        <w:t>charge components.</w:t>
      </w:r>
    </w:p>
    <w:p w:rsidR="00897AA5" w:rsidRPr="00081B94" w:rsidRDefault="00897AA5" w:rsidP="00DA47C0">
      <w:pPr>
        <w:pStyle w:val="Bulletpoint"/>
      </w:pPr>
      <w:r w:rsidRPr="00081B94">
        <w:t>Government fixed charge –</w:t>
      </w:r>
      <w:r w:rsidR="00111651" w:rsidRPr="00081B94">
        <w:t xml:space="preserve"> </w:t>
      </w:r>
      <w:r w:rsidR="004F54F6">
        <w:t>t</w:t>
      </w:r>
      <w:r w:rsidR="00807DD6" w:rsidRPr="00081B94">
        <w:t xml:space="preserve">he </w:t>
      </w:r>
      <w:r w:rsidR="00004D68" w:rsidRPr="00081B94">
        <w:t xml:space="preserve">listed </w:t>
      </w:r>
      <w:r w:rsidR="00807DD6" w:rsidRPr="00081B94">
        <w:t xml:space="preserve">charge ($3.50/ML) </w:t>
      </w:r>
      <w:r w:rsidR="00004D68" w:rsidRPr="00081B94">
        <w:t>is slightly less than the total of the actual WaterNSW and DPI Water</w:t>
      </w:r>
      <w:r w:rsidR="00807DD6" w:rsidRPr="00081B94">
        <w:t xml:space="preserve"> ($4.16/ML)</w:t>
      </w:r>
      <w:r w:rsidR="00004D68" w:rsidRPr="00081B94">
        <w:t xml:space="preserve"> charges. </w:t>
      </w:r>
      <w:r w:rsidR="0019461E" w:rsidRPr="00081B94">
        <w:t xml:space="preserve">The </w:t>
      </w:r>
      <w:r w:rsidR="00807DD6" w:rsidRPr="00081B94">
        <w:t xml:space="preserve">analysis assumes the </w:t>
      </w:r>
      <w:r w:rsidRPr="00081B94">
        <w:t xml:space="preserve">actual DPI </w:t>
      </w:r>
      <w:r w:rsidR="0019461E" w:rsidRPr="00081B94">
        <w:t xml:space="preserve">Water </w:t>
      </w:r>
      <w:r w:rsidRPr="00081B94">
        <w:t xml:space="preserve">fixed charge </w:t>
      </w:r>
      <w:r w:rsidR="0019461E" w:rsidRPr="00081B94">
        <w:t xml:space="preserve">($1.50/ML) </w:t>
      </w:r>
      <w:r w:rsidRPr="00081B94">
        <w:t>is fully passed through to Eagle Creek’s customers as part of the government fixed charge.</w:t>
      </w:r>
      <w:r w:rsidR="00736096">
        <w:t xml:space="preserve"> </w:t>
      </w:r>
      <w:r w:rsidR="0019461E" w:rsidRPr="00081B94">
        <w:t xml:space="preserve">The remainder is assumed to be the WaterNSW fixed charge ($2.00/ML). This is less than the relevant charge on WaterNSW’s schedule of charges for the NSW Murray valley ($2.66/ML). </w:t>
      </w:r>
      <w:r w:rsidRPr="00081B94">
        <w:t>The difference between the</w:t>
      </w:r>
      <w:r w:rsidR="0019461E" w:rsidRPr="00081B94">
        <w:t>se</w:t>
      </w:r>
      <w:r w:rsidRPr="00081B94">
        <w:t xml:space="preserve"> </w:t>
      </w:r>
      <w:r w:rsidR="0019461E" w:rsidRPr="00081B94">
        <w:t xml:space="preserve">two </w:t>
      </w:r>
      <w:r w:rsidRPr="00081B94">
        <w:t>charge</w:t>
      </w:r>
      <w:r w:rsidR="0019461E" w:rsidRPr="00081B94">
        <w:t xml:space="preserve">s ($0.66/ML) </w:t>
      </w:r>
      <w:r w:rsidRPr="00081B94">
        <w:t xml:space="preserve">is taken to be </w:t>
      </w:r>
      <w:r w:rsidR="0019461E" w:rsidRPr="00081B94">
        <w:t>WaterNSW’s</w:t>
      </w:r>
      <w:r w:rsidRPr="00081B94">
        <w:t xml:space="preserve"> </w:t>
      </w:r>
      <w:r w:rsidR="004B149A" w:rsidRPr="00081B94">
        <w:t>ICD rebate</w:t>
      </w:r>
      <w:r w:rsidR="0019461E" w:rsidRPr="00081B94">
        <w:t xml:space="preserve"> for Eagle Creek</w:t>
      </w:r>
      <w:r w:rsidRPr="00081B94">
        <w:t>.</w:t>
      </w:r>
      <w:r w:rsidR="00A77093" w:rsidRPr="00081B94">
        <w:t xml:space="preserve"> </w:t>
      </w:r>
    </w:p>
    <w:p w:rsidR="00897AA5" w:rsidRDefault="00897AA5" w:rsidP="00DA47C0">
      <w:pPr>
        <w:pStyle w:val="Bulletpoint"/>
      </w:pPr>
      <w:r>
        <w:t xml:space="preserve">Government usage charge – </w:t>
      </w:r>
      <w:r w:rsidR="004F54F6">
        <w:t>t</w:t>
      </w:r>
      <w:r w:rsidR="0019461E">
        <w:t xml:space="preserve">he </w:t>
      </w:r>
      <w:r w:rsidR="00A501E4">
        <w:t xml:space="preserve">Eagle Creek </w:t>
      </w:r>
      <w:r w:rsidR="00807DD6">
        <w:t xml:space="preserve">government usage </w:t>
      </w:r>
      <w:r w:rsidR="00A501E4">
        <w:t xml:space="preserve">charge </w:t>
      </w:r>
      <w:r w:rsidR="00A77093">
        <w:t>($7.37/ML)</w:t>
      </w:r>
      <w:r w:rsidR="00A501E4">
        <w:t xml:space="preserve"> is equal to </w:t>
      </w:r>
      <w:r w:rsidR="00A77093">
        <w:t xml:space="preserve">sum of </w:t>
      </w:r>
      <w:r w:rsidR="00A501E4">
        <w:t xml:space="preserve">the relevant </w:t>
      </w:r>
      <w:r w:rsidR="00A77093">
        <w:t xml:space="preserve">regulated </w:t>
      </w:r>
      <w:r w:rsidR="00A501E4">
        <w:t xml:space="preserve">WaterNSW </w:t>
      </w:r>
      <w:r w:rsidR="00A77093">
        <w:t xml:space="preserve">($6.40/ML) </w:t>
      </w:r>
      <w:r w:rsidR="00A501E4">
        <w:t>and DPI Water</w:t>
      </w:r>
      <w:r w:rsidR="00A77093">
        <w:t xml:space="preserve"> ($0.97/ML)</w:t>
      </w:r>
      <w:r w:rsidR="00004D68">
        <w:t xml:space="preserve"> charges</w:t>
      </w:r>
      <w:r w:rsidR="0092680E">
        <w:t xml:space="preserve"> for the NSW Murray valley</w:t>
      </w:r>
      <w:r w:rsidR="00A501E4">
        <w:t xml:space="preserve">. Therefore this analysis </w:t>
      </w:r>
      <w:r w:rsidR="005B4A07">
        <w:t xml:space="preserve">divides </w:t>
      </w:r>
      <w:r w:rsidR="00A501E4">
        <w:t xml:space="preserve">the Eagle Creek government usage charge </w:t>
      </w:r>
      <w:r w:rsidR="005B4A07">
        <w:t xml:space="preserve">into </w:t>
      </w:r>
      <w:r w:rsidR="00A77093">
        <w:t>these two components.</w:t>
      </w:r>
      <w:r w:rsidR="00A77093" w:rsidDel="00A77093">
        <w:t xml:space="preserve"> </w:t>
      </w:r>
    </w:p>
    <w:p w:rsidR="00897AA5" w:rsidRDefault="00897AA5" w:rsidP="00897AA5">
      <w:pPr>
        <w:pStyle w:val="Heading4"/>
        <w:keepNext/>
      </w:pPr>
      <w:bookmarkStart w:id="155" w:name="_Toc418071374"/>
      <w:r>
        <w:t>Hypothetical termination fee</w:t>
      </w:r>
      <w:bookmarkEnd w:id="155"/>
    </w:p>
    <w:p w:rsidR="00897AA5" w:rsidRDefault="00897AA5" w:rsidP="00897AA5">
      <w:r>
        <w:t>The hypothetical termination fee is calculated assuming 250 ML of general security water delivery right is held, with either 50 or 100 per cent of this volume terminated.</w:t>
      </w:r>
    </w:p>
    <w:p w:rsidR="00E265CE" w:rsidRDefault="00E265CE" w:rsidP="00E265CE">
      <w:r>
        <w:t>The 2015−16 analysis uses the (GST exclusive) termination fee listed on Eagle Creek’s schedule of charges.</w:t>
      </w:r>
    </w:p>
    <w:p w:rsidR="00897AA5" w:rsidRDefault="001C3657" w:rsidP="00897AA5">
      <w:pPr>
        <w:pStyle w:val="Heading4"/>
        <w:keepNext/>
      </w:pPr>
      <w:r>
        <w:t>2015−16</w:t>
      </w:r>
      <w:r w:rsidR="00897AA5">
        <w:t xml:space="preserve"> Schedule of charges</w:t>
      </w:r>
    </w:p>
    <w:p w:rsidR="00897AA5" w:rsidRDefault="002F2902" w:rsidP="00897AA5">
      <w:r>
        <w:t>Eagle Creek provided the schedules of charges below to the ACCC as part of its response to the ACCC’s request for information.</w:t>
      </w:r>
      <w:r w:rsidR="00897AA5" w:rsidRPr="00B7122A">
        <w:t xml:space="preserve"> </w:t>
      </w:r>
      <w:r w:rsidR="006C6F30">
        <w:t xml:space="preserve">The schedule </w:t>
      </w:r>
      <w:r w:rsidR="00885B62">
        <w:t xml:space="preserve">came into effect on 1 September 2015. The schedule </w:t>
      </w:r>
      <w:r w:rsidR="006C6F30">
        <w:t xml:space="preserve">marked </w:t>
      </w:r>
      <w:r w:rsidR="001C3657">
        <w:t>2014−15</w:t>
      </w:r>
      <w:r w:rsidR="006C6F30">
        <w:t xml:space="preserve"> applied </w:t>
      </w:r>
      <w:r w:rsidR="00111651">
        <w:t xml:space="preserve">(relevantly) </w:t>
      </w:r>
      <w:r w:rsidR="006C6F30">
        <w:t>f</w:t>
      </w:r>
      <w:r w:rsidR="00C7060E">
        <w:t>rom 1 July 2015</w:t>
      </w:r>
      <w:r w:rsidR="006C6F30">
        <w:t xml:space="preserve"> until 31 August 2015</w:t>
      </w:r>
      <w:r w:rsidR="00721AD9">
        <w:t xml:space="preserve"> (i.e. two months), with the schedule marked </w:t>
      </w:r>
      <w:r w:rsidR="001F541D">
        <w:t>2015−16</w:t>
      </w:r>
      <w:r w:rsidR="00721AD9">
        <w:t xml:space="preserve"> applying for the remainder of the financial year (i.e. ten months)</w:t>
      </w:r>
      <w:r w:rsidR="00885B62">
        <w:t>.</w:t>
      </w:r>
      <w:r w:rsidR="006C6F30">
        <w:t xml:space="preserve"> The hypothetical bills are based on a weighted average of </w:t>
      </w:r>
      <w:r w:rsidR="006C6F30">
        <w:lastRenderedPageBreak/>
        <w:t xml:space="preserve">charges, with a weighting of 2/12 for the </w:t>
      </w:r>
      <w:r w:rsidR="001C3657">
        <w:t>2014−15</w:t>
      </w:r>
      <w:r w:rsidR="00885B62">
        <w:t xml:space="preserve"> </w:t>
      </w:r>
      <w:r w:rsidR="006C6F30">
        <w:t xml:space="preserve">schedule and 10/12 for the </w:t>
      </w:r>
      <w:r w:rsidR="001C3657">
        <w:t>2015−16</w:t>
      </w:r>
      <w:r w:rsidR="00885B62">
        <w:t xml:space="preserve"> schedule</w:t>
      </w:r>
      <w:r w:rsidR="006C6F30">
        <w:t>.</w:t>
      </w:r>
    </w:p>
    <w:p w:rsidR="00A92837" w:rsidRDefault="005B4A07" w:rsidP="00897AA5">
      <w:r>
        <w:object w:dxaOrig="9180" w:dyaOrig="11881">
          <v:shape id="_x0000_i1027" type="#_x0000_t75" alt="Eagle Creek Pumping Syndicate Schedule of Charges, 2015-16, Applicable 1 September 2015 to 30 June 2016" style="width:460.4pt;height:569.9pt" o:ole="">
            <v:imagedata r:id="rId76" o:title=""/>
          </v:shape>
          <o:OLEObject Type="Embed" ProgID="AcroExch.Document.11" ShapeID="_x0000_i1027" DrawAspect="Content" ObjectID="_1559126977" r:id="rId77"/>
        </w:object>
      </w:r>
    </w:p>
    <w:p w:rsidR="00A92837" w:rsidRDefault="00A92837">
      <w:r>
        <w:br w:type="page"/>
      </w:r>
    </w:p>
    <w:p w:rsidR="00897AA5" w:rsidRPr="00BF3323" w:rsidRDefault="00897AA5" w:rsidP="00736EBA">
      <w:pPr>
        <w:pStyle w:val="Numbered111"/>
      </w:pPr>
      <w:bookmarkStart w:id="156" w:name="_Toc485303359"/>
      <w:r w:rsidRPr="00BF3323">
        <w:lastRenderedPageBreak/>
        <w:t>Western Murray Irrigation (WMI), NSW Murray</w:t>
      </w:r>
      <w:bookmarkEnd w:id="156"/>
    </w:p>
    <w:p w:rsidR="00897AA5" w:rsidRDefault="00897AA5" w:rsidP="00897AA5">
      <w:pPr>
        <w:pStyle w:val="Heading4"/>
        <w:keepNext/>
      </w:pPr>
      <w:bookmarkStart w:id="157" w:name="_Toc418071376"/>
      <w:r>
        <w:t>Off-river IO hypothetical bill</w:t>
      </w:r>
    </w:p>
    <w:bookmarkEnd w:id="157"/>
    <w:p w:rsidR="00897AA5" w:rsidRDefault="00897AA5" w:rsidP="00897AA5">
      <w:r>
        <w:t xml:space="preserve">The analysis assumes one irrigator in each of WMI’s three networks: </w:t>
      </w:r>
    </w:p>
    <w:p w:rsidR="00897AA5" w:rsidRDefault="00897AA5" w:rsidP="00DA47C0">
      <w:pPr>
        <w:pStyle w:val="Bulletpoint"/>
      </w:pPr>
      <w:r>
        <w:t xml:space="preserve">Buronga </w:t>
      </w:r>
    </w:p>
    <w:p w:rsidR="00897AA5" w:rsidRDefault="00897AA5" w:rsidP="00DA47C0">
      <w:pPr>
        <w:pStyle w:val="Bulletpoint"/>
      </w:pPr>
      <w:r>
        <w:t>Coomealla</w:t>
      </w:r>
      <w:r w:rsidR="008E394F">
        <w:t>,</w:t>
      </w:r>
      <w:r>
        <w:t xml:space="preserve"> and </w:t>
      </w:r>
    </w:p>
    <w:p w:rsidR="00897AA5" w:rsidRDefault="00897AA5" w:rsidP="00DA47C0">
      <w:pPr>
        <w:pStyle w:val="Bulletpoint"/>
      </w:pPr>
      <w:r>
        <w:t xml:space="preserve">Curlwaa. </w:t>
      </w:r>
    </w:p>
    <w:p w:rsidR="00897AA5" w:rsidRDefault="00897AA5" w:rsidP="00897AA5">
      <w:r>
        <w:t xml:space="preserve">It is assumed that each irrigator: </w:t>
      </w:r>
    </w:p>
    <w:p w:rsidR="00897AA5" w:rsidRDefault="00897AA5" w:rsidP="00DA47C0">
      <w:pPr>
        <w:pStyle w:val="Bulletpoint"/>
      </w:pPr>
      <w:r>
        <w:t xml:space="preserve">holds a specific volume of irrigation right (50 ML, 250 ML or 1000 ML) </w:t>
      </w:r>
    </w:p>
    <w:p w:rsidR="00897AA5" w:rsidRDefault="00897AA5" w:rsidP="00DA47C0">
      <w:pPr>
        <w:pStyle w:val="Bulletpoint"/>
      </w:pPr>
      <w:r>
        <w:t>holds an equivalent amount of delivery entitlement (50 ML, 250 ML or 1000 ML, respectively) and</w:t>
      </w:r>
    </w:p>
    <w:p w:rsidR="00897AA5" w:rsidRDefault="00897AA5" w:rsidP="00DA47C0">
      <w:pPr>
        <w:pStyle w:val="Bulletpoint"/>
      </w:pPr>
      <w:r>
        <w:t>does not incur meter reading or administration charges.</w:t>
      </w:r>
    </w:p>
    <w:p w:rsidR="00ED676C" w:rsidRDefault="00ED676C" w:rsidP="00ED676C">
      <w:r>
        <w:t xml:space="preserve">The </w:t>
      </w:r>
      <w:r w:rsidR="001C3657">
        <w:t>2015−16</w:t>
      </w:r>
      <w:r>
        <w:t xml:space="preserve"> hypothetical bill analysis includes the following charges listed on WMI’s schedule of charges</w:t>
      </w:r>
      <w:r w:rsidR="004F645E">
        <w:t xml:space="preserve">, which apply to all three networks at </w:t>
      </w:r>
      <w:r w:rsidR="00C7060E">
        <w:t>the applicable</w:t>
      </w:r>
      <w:r w:rsidR="004F645E">
        <w:t xml:space="preserve"> rates</w:t>
      </w:r>
      <w:r w:rsidR="00C7060E">
        <w:t xml:space="preserve"> listed on the schedule</w:t>
      </w:r>
      <w:r w:rsidR="004F645E">
        <w:t xml:space="preserve"> unless otherwise specified</w:t>
      </w:r>
      <w:r>
        <w:t xml:space="preserve">. </w:t>
      </w:r>
    </w:p>
    <w:p w:rsidR="00ED676C" w:rsidRDefault="00ED676C" w:rsidP="00ED676C">
      <w:r>
        <w:t>Fixed:</w:t>
      </w:r>
    </w:p>
    <w:p w:rsidR="005C2F12" w:rsidRDefault="005C2F12" w:rsidP="00DA47C0">
      <w:pPr>
        <w:pStyle w:val="Bulletpoint"/>
      </w:pPr>
      <w:r>
        <w:t xml:space="preserve">access fee for delivery entitlement </w:t>
      </w:r>
      <w:r w:rsidR="000F02F4">
        <w:t>(per ML of ‘delivery entitlement’ (water delivery right) held)</w:t>
      </w:r>
    </w:p>
    <w:p w:rsidR="00ED676C" w:rsidRDefault="00ED676C" w:rsidP="00DA47C0">
      <w:pPr>
        <w:pStyle w:val="Bulletpoint"/>
      </w:pPr>
      <w:r>
        <w:t xml:space="preserve">asset replacement fund </w:t>
      </w:r>
      <w:r w:rsidR="000F02F4">
        <w:t>(per ML of ‘delivery entitlement’ (water delivery right) held)</w:t>
      </w:r>
    </w:p>
    <w:p w:rsidR="00191B00" w:rsidRDefault="00191B00" w:rsidP="00DA47C0">
      <w:pPr>
        <w:pStyle w:val="Bulletpoint"/>
      </w:pPr>
      <w:r>
        <w:t>joint venture repayment (Coomealla only)</w:t>
      </w:r>
      <w:r w:rsidR="000F02F4">
        <w:t xml:space="preserve"> (per ML of ‘delivery entitlement’ (water delivery right) held)</w:t>
      </w:r>
    </w:p>
    <w:p w:rsidR="005C2F12" w:rsidRDefault="005C2F12" w:rsidP="00DA47C0">
      <w:pPr>
        <w:pStyle w:val="Bulletpoint"/>
      </w:pPr>
      <w:r>
        <w:t>infrastructure loan repayment</w:t>
      </w:r>
      <w:r w:rsidR="00191B00">
        <w:t xml:space="preserve"> (Buronga only)</w:t>
      </w:r>
      <w:r w:rsidR="000F02F4">
        <w:t xml:space="preserve"> (per ML of ‘delivery entitlement’ (water delivery right) held)</w:t>
      </w:r>
    </w:p>
    <w:p w:rsidR="005C2F12" w:rsidRDefault="005C2F12" w:rsidP="00DA47C0">
      <w:pPr>
        <w:pStyle w:val="Bulletpoint"/>
      </w:pPr>
      <w:r>
        <w:t>fixed government charge</w:t>
      </w:r>
      <w:r w:rsidR="00EE14C7">
        <w:t xml:space="preserve"> (</w:t>
      </w:r>
      <w:r w:rsidR="004F645E">
        <w:t>fo</w:t>
      </w:r>
      <w:r w:rsidR="00EE14C7">
        <w:t>r general security entitlement</w:t>
      </w:r>
      <w:r w:rsidR="004F645E">
        <w:t>s</w:t>
      </w:r>
      <w:r w:rsidR="00EE14C7">
        <w:t>)</w:t>
      </w:r>
      <w:r w:rsidR="000F02F4">
        <w:t xml:space="preserve"> (per ML of ‘water entitlement’ (irrigation right) held)</w:t>
      </w:r>
    </w:p>
    <w:p w:rsidR="005C2F12" w:rsidRDefault="005C2F12" w:rsidP="00DA47C0">
      <w:pPr>
        <w:pStyle w:val="Bulletpoint"/>
      </w:pPr>
      <w:r>
        <w:t xml:space="preserve">membership levy </w:t>
      </w:r>
      <w:r w:rsidR="000F02F4">
        <w:t>(per ML of ‘water entitlement’ (irrigation right) held)</w:t>
      </w:r>
    </w:p>
    <w:p w:rsidR="00ED676C" w:rsidRDefault="00ED676C" w:rsidP="00DA47C0">
      <w:pPr>
        <w:pStyle w:val="Bulletpoint"/>
      </w:pPr>
      <w:r>
        <w:t xml:space="preserve">land and water management plan charge </w:t>
      </w:r>
      <w:r w:rsidR="00191B00">
        <w:t>(Buronga only)</w:t>
      </w:r>
      <w:r w:rsidR="000F02F4">
        <w:t xml:space="preserve"> (per ML of ‘delivery entitlement’ (water delivery right) held)</w:t>
      </w:r>
    </w:p>
    <w:p w:rsidR="00ED676C" w:rsidRDefault="00ED676C" w:rsidP="00ED676C">
      <w:r>
        <w:t>Variable:</w:t>
      </w:r>
    </w:p>
    <w:p w:rsidR="00ED676C" w:rsidRDefault="00ED676C" w:rsidP="00DA47C0">
      <w:pPr>
        <w:pStyle w:val="Bulletpoint"/>
      </w:pPr>
      <w:r>
        <w:t xml:space="preserve">water usage above access fee allowance </w:t>
      </w:r>
      <w:r w:rsidR="000F02F4">
        <w:t>(per ML of water delivered above ‘access fee allowance’ (see below))</w:t>
      </w:r>
    </w:p>
    <w:p w:rsidR="00ED676C" w:rsidRDefault="00ED676C" w:rsidP="00DA47C0">
      <w:pPr>
        <w:pStyle w:val="Bulletpoint"/>
      </w:pPr>
      <w:r>
        <w:t>variable government charge</w:t>
      </w:r>
      <w:r w:rsidR="000F02F4">
        <w:t xml:space="preserve"> (per ML of water delivered)</w:t>
      </w:r>
      <w:r w:rsidR="00F11C6A">
        <w:t>.</w:t>
      </w:r>
    </w:p>
    <w:p w:rsidR="002F7498" w:rsidRDefault="00897AA5" w:rsidP="00897AA5">
      <w:r>
        <w:t>WMI does not levy its usage charge as long as water usage is below or equal to the</w:t>
      </w:r>
      <w:r w:rsidR="000F02F4">
        <w:t xml:space="preserve"> customer’s</w:t>
      </w:r>
      <w:r>
        <w:t xml:space="preserve"> </w:t>
      </w:r>
      <w:r w:rsidR="000F02F4">
        <w:t>‘</w:t>
      </w:r>
      <w:r>
        <w:t>access fee allowance</w:t>
      </w:r>
      <w:r w:rsidR="000F02F4">
        <w:t xml:space="preserve">’, which </w:t>
      </w:r>
      <w:r w:rsidR="002F7498">
        <w:t xml:space="preserve">is set as a specified percentage of delivery entitlements. For each network in </w:t>
      </w:r>
      <w:r w:rsidR="001C3657">
        <w:t>2015−16</w:t>
      </w:r>
      <w:r w:rsidR="002F7498">
        <w:t xml:space="preserve">, this allowance is:  </w:t>
      </w:r>
    </w:p>
    <w:p w:rsidR="002F7498" w:rsidRDefault="002F7498" w:rsidP="00DA47C0">
      <w:pPr>
        <w:pStyle w:val="Bulletpoint"/>
      </w:pPr>
      <w:r>
        <w:t>60 per cent for Buronga (up from 5</w:t>
      </w:r>
      <w:r w:rsidR="006A7748">
        <w:t>7</w:t>
      </w:r>
      <w:r>
        <w:t xml:space="preserve"> per cent </w:t>
      </w:r>
      <w:r w:rsidR="006A7748">
        <w:t>for</w:t>
      </w:r>
      <w:r>
        <w:t xml:space="preserve"> </w:t>
      </w:r>
      <w:r w:rsidR="001C3657">
        <w:t>2014−15</w:t>
      </w:r>
      <w:r>
        <w:t>)</w:t>
      </w:r>
    </w:p>
    <w:p w:rsidR="002F7498" w:rsidRDefault="002F7498" w:rsidP="00DA47C0">
      <w:pPr>
        <w:pStyle w:val="Bulletpoint"/>
      </w:pPr>
      <w:r>
        <w:t>45 per cent for Coomealla (</w:t>
      </w:r>
      <w:r w:rsidR="002F757B">
        <w:t xml:space="preserve">the </w:t>
      </w:r>
      <w:r>
        <w:t xml:space="preserve">same as for </w:t>
      </w:r>
      <w:r w:rsidR="001C3657">
        <w:t>2014−15</w:t>
      </w:r>
      <w:r>
        <w:t xml:space="preserve">) </w:t>
      </w:r>
    </w:p>
    <w:p w:rsidR="002F7498" w:rsidRDefault="002F7498" w:rsidP="00DA47C0">
      <w:pPr>
        <w:pStyle w:val="Bulletpoint"/>
      </w:pPr>
      <w:r>
        <w:t>60 per cent for Curlwaa (</w:t>
      </w:r>
      <w:r w:rsidR="002F757B">
        <w:t xml:space="preserve">the </w:t>
      </w:r>
      <w:r>
        <w:t xml:space="preserve">same as for </w:t>
      </w:r>
      <w:r w:rsidR="001C3657">
        <w:t>2014−15</w:t>
      </w:r>
      <w:r>
        <w:t>)</w:t>
      </w:r>
      <w:r w:rsidR="004F645E">
        <w:t>.</w:t>
      </w:r>
    </w:p>
    <w:p w:rsidR="002F7498" w:rsidRDefault="000F02F4" w:rsidP="00897AA5">
      <w:r>
        <w:t>A</w:t>
      </w:r>
      <w:r w:rsidR="002F7498">
        <w:t>n irrigator that uses water above the allowance percentage incurs t</w:t>
      </w:r>
      <w:r w:rsidR="00897AA5">
        <w:t xml:space="preserve">he </w:t>
      </w:r>
      <w:r w:rsidR="002F7498">
        <w:t xml:space="preserve">‘water usage above access </w:t>
      </w:r>
      <w:r w:rsidR="002F757B">
        <w:t>f</w:t>
      </w:r>
      <w:r w:rsidR="002F7498">
        <w:t xml:space="preserve">ee </w:t>
      </w:r>
      <w:r w:rsidR="002F757B">
        <w:t>a</w:t>
      </w:r>
      <w:r w:rsidR="002F7498">
        <w:t>llowance’, for each megalitre above the allowance.</w:t>
      </w:r>
    </w:p>
    <w:p w:rsidR="00897AA5" w:rsidRDefault="00897AA5" w:rsidP="00897AA5">
      <w:r>
        <w:lastRenderedPageBreak/>
        <w:t xml:space="preserve">The hypothetical bill analysis makes the following assumptions to separate the WaterNSW and DPI </w:t>
      </w:r>
      <w:r w:rsidR="004F7D4D">
        <w:t xml:space="preserve">Water </w:t>
      </w:r>
      <w:r>
        <w:t xml:space="preserve">charge components within each of the two </w:t>
      </w:r>
      <w:r w:rsidR="004F645E">
        <w:t>combined government</w:t>
      </w:r>
      <w:r>
        <w:t xml:space="preserve"> charges</w:t>
      </w:r>
      <w:r w:rsidR="004F645E">
        <w:t xml:space="preserve"> listed by WMI:</w:t>
      </w:r>
    </w:p>
    <w:p w:rsidR="005F6AC3" w:rsidRDefault="00897AA5" w:rsidP="00DA47C0">
      <w:pPr>
        <w:pStyle w:val="Bulletpoint"/>
      </w:pPr>
      <w:r>
        <w:t xml:space="preserve">Fixed government charge – </w:t>
      </w:r>
      <w:r w:rsidR="005F6AC3">
        <w:t xml:space="preserve">the fixed government charge ($4.16/ML) is equal to sum of the relevant fixed regulated WaterNSW ($2.66/ML) and DPI Water </w:t>
      </w:r>
      <w:r w:rsidR="00DB5115">
        <w:t xml:space="preserve">charges </w:t>
      </w:r>
      <w:r w:rsidR="005F6AC3">
        <w:t xml:space="preserve">($1.50/ML) for the NSW Murray valley. Therefore this analysis </w:t>
      </w:r>
      <w:r w:rsidR="000F02F4">
        <w:t>divides</w:t>
      </w:r>
      <w:r w:rsidR="005F6AC3">
        <w:t xml:space="preserve"> the WMI fixed government charge </w:t>
      </w:r>
      <w:r w:rsidR="000F02F4">
        <w:t xml:space="preserve">into </w:t>
      </w:r>
      <w:r w:rsidR="005F6AC3">
        <w:t>these two components.</w:t>
      </w:r>
      <w:r w:rsidR="005F6AC3" w:rsidDel="00A77093">
        <w:t xml:space="preserve"> </w:t>
      </w:r>
    </w:p>
    <w:p w:rsidR="005F6AC3" w:rsidRDefault="00897AA5" w:rsidP="00DA47C0">
      <w:pPr>
        <w:pStyle w:val="Bulletpoint"/>
      </w:pPr>
      <w:r>
        <w:t xml:space="preserve">Variable government charge – </w:t>
      </w:r>
      <w:r w:rsidR="005F6AC3">
        <w:t xml:space="preserve">the variable government charge ($7.37/ML) is equal to sum of the relevant variable regulated WaterNSW ($6.40/ML) and DPI Water </w:t>
      </w:r>
      <w:r w:rsidR="00DB5115">
        <w:t xml:space="preserve">charges </w:t>
      </w:r>
      <w:r w:rsidR="005F6AC3">
        <w:t xml:space="preserve">($0.97/ML) for the NSW Murray valley. Therefore this analysis </w:t>
      </w:r>
      <w:r w:rsidR="000F02F4">
        <w:t>divides</w:t>
      </w:r>
      <w:r w:rsidR="005F6AC3">
        <w:t xml:space="preserve"> the WMI variable government charge </w:t>
      </w:r>
      <w:r w:rsidR="000F02F4">
        <w:t xml:space="preserve">into </w:t>
      </w:r>
      <w:r w:rsidR="005F6AC3">
        <w:t>these two components.</w:t>
      </w:r>
      <w:r w:rsidR="005F6AC3" w:rsidDel="00A77093">
        <w:t xml:space="preserve"> </w:t>
      </w:r>
    </w:p>
    <w:p w:rsidR="00897AA5" w:rsidRDefault="00897AA5" w:rsidP="00A63D8E">
      <w:pPr>
        <w:pStyle w:val="Heading4"/>
        <w:keepNext/>
      </w:pPr>
      <w:bookmarkStart w:id="158" w:name="_Toc418071377"/>
      <w:r>
        <w:t>Hypothetical termination fees</w:t>
      </w:r>
      <w:bookmarkEnd w:id="158"/>
    </w:p>
    <w:p w:rsidR="00897AA5" w:rsidRDefault="00897AA5" w:rsidP="00897AA5">
      <w:r>
        <w:t xml:space="preserve">The </w:t>
      </w:r>
      <w:r w:rsidR="002F757B">
        <w:t xml:space="preserve">ACCC has calculated </w:t>
      </w:r>
      <w:r>
        <w:t>hypothetical termination fees assuming 250 ML of delivery entitlement is held, with either 50 or 100 per cent of this volume terminated.</w:t>
      </w:r>
    </w:p>
    <w:p w:rsidR="00E265CE" w:rsidRDefault="00E265CE" w:rsidP="00E265CE">
      <w:r>
        <w:t>The 2015−16 analysis uses the (GST exclusive) termination fee listed on WMI’s schedule of charges.</w:t>
      </w:r>
    </w:p>
    <w:p w:rsidR="002F757B" w:rsidRDefault="001C3657" w:rsidP="003F1051">
      <w:pPr>
        <w:pStyle w:val="Heading4"/>
        <w:keepNext/>
      </w:pPr>
      <w:bookmarkStart w:id="159" w:name="_Toc418071379"/>
      <w:bookmarkStart w:id="160" w:name="_Toc418495368"/>
      <w:r>
        <w:t>2015−16</w:t>
      </w:r>
      <w:r w:rsidR="00897AA5">
        <w:t xml:space="preserve"> Schedule of charges</w:t>
      </w:r>
    </w:p>
    <w:p w:rsidR="00431591" w:rsidRDefault="00EB3EAC" w:rsidP="00431591">
      <w:r>
        <w:t>WMI</w:t>
      </w:r>
      <w:r w:rsidR="002F757B" w:rsidRPr="00B7122A">
        <w:t xml:space="preserve"> provided its schedule</w:t>
      </w:r>
      <w:r>
        <w:t>s</w:t>
      </w:r>
      <w:r w:rsidR="002F757B" w:rsidRPr="00B7122A">
        <w:t xml:space="preserve"> of charges </w:t>
      </w:r>
      <w:r w:rsidR="002F757B">
        <w:t xml:space="preserve">for </w:t>
      </w:r>
      <w:r w:rsidR="001C3657">
        <w:t>2015−16</w:t>
      </w:r>
      <w:r w:rsidR="002F757B">
        <w:t xml:space="preserve"> </w:t>
      </w:r>
      <w:r>
        <w:t xml:space="preserve">(two schedules of charges – the first applying from 1 July 2015 to 30 March 2016 and the second applying from 31 March 2016 to 30 June 2016) </w:t>
      </w:r>
      <w:r w:rsidR="002F757B" w:rsidRPr="00B7122A">
        <w:t xml:space="preserve">to the ACCC </w:t>
      </w:r>
      <w:r w:rsidR="002F2902">
        <w:t xml:space="preserve">as part of its </w:t>
      </w:r>
      <w:r w:rsidR="002F757B">
        <w:t xml:space="preserve">response to the ACCC’s </w:t>
      </w:r>
      <w:r w:rsidR="002F757B" w:rsidRPr="00B7122A">
        <w:t>request for information</w:t>
      </w:r>
      <w:r w:rsidR="002F757B">
        <w:t>.</w:t>
      </w:r>
      <w:r w:rsidR="005E5B4A">
        <w:t xml:space="preserve"> The only change </w:t>
      </w:r>
      <w:r w:rsidR="009943EB">
        <w:t xml:space="preserve">between the </w:t>
      </w:r>
      <w:r w:rsidR="005E5B4A">
        <w:t>schedule</w:t>
      </w:r>
      <w:r w:rsidR="009943EB">
        <w:t>s</w:t>
      </w:r>
      <w:r w:rsidR="005E5B4A">
        <w:t xml:space="preserve"> was in the surcharge for water above allocation, which does not affect the hypothetical bill calculations.</w:t>
      </w:r>
      <w:r w:rsidR="002F757B">
        <w:t xml:space="preserve"> </w:t>
      </w:r>
    </w:p>
    <w:p w:rsidR="00431591" w:rsidRDefault="002F757B">
      <w:r>
        <w:t>Th</w:t>
      </w:r>
      <w:r w:rsidR="00173051">
        <w:t>e</w:t>
      </w:r>
      <w:r>
        <w:t xml:space="preserve"> schedule</w:t>
      </w:r>
      <w:r w:rsidR="00173051">
        <w:t>s</w:t>
      </w:r>
      <w:r>
        <w:t xml:space="preserve"> of charges </w:t>
      </w:r>
      <w:r w:rsidR="00173051">
        <w:t>are</w:t>
      </w:r>
      <w:r>
        <w:t xml:space="preserve"> set out below.</w:t>
      </w:r>
      <w:r w:rsidDel="002F757B">
        <w:t xml:space="preserve"> </w:t>
      </w:r>
    </w:p>
    <w:p w:rsidR="00A91B29" w:rsidRPr="003F1051" w:rsidRDefault="00A91B29" w:rsidP="00A63D8E">
      <w:pPr>
        <w:pStyle w:val="Tabletitle"/>
        <w:keepNext/>
      </w:pPr>
      <w:r w:rsidRPr="003F1051">
        <w:lastRenderedPageBreak/>
        <w:t xml:space="preserve">Western Murray Irrigation </w:t>
      </w:r>
      <w:r w:rsidR="001C3657">
        <w:t>2015−16</w:t>
      </w:r>
      <w:r w:rsidRPr="003F1051">
        <w:t xml:space="preserve"> Schedule of Charges – </w:t>
      </w:r>
      <w:r w:rsidR="00111651">
        <w:t>Applicable from</w:t>
      </w:r>
      <w:r w:rsidR="00111651" w:rsidRPr="003F1051">
        <w:t xml:space="preserve"> </w:t>
      </w:r>
      <w:r w:rsidRPr="003F1051">
        <w:t>1 July 2015 to 30 March 2016</w:t>
      </w:r>
    </w:p>
    <w:p w:rsidR="00872067" w:rsidRDefault="00872067" w:rsidP="00A63D8E">
      <w:pPr>
        <w:keepNext/>
      </w:pPr>
      <w:r>
        <w:rPr>
          <w:noProof/>
          <w:lang w:eastAsia="en-AU"/>
        </w:rPr>
        <w:drawing>
          <wp:inline distT="0" distB="0" distL="0" distR="0" wp14:anchorId="3EE44F2C" wp14:editId="57BE2965">
            <wp:extent cx="5581015" cy="7745104"/>
            <wp:effectExtent l="0" t="0" r="635" b="8255"/>
            <wp:docPr id="51" name="Picture 1" descr="Schedule of Charges of Western Murray Irrigation Limited used by the ACCC to prepare hypothetical bills for the 2015-16 water year. Charges valid from 1 July 2015 to 30 March 2016." title="Western Murray Irrigation Limited Schedule of Charges, 2015-16, Valid 1 July 2015 to 30 Marc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8"/>
                    <a:stretch>
                      <a:fillRect/>
                    </a:stretch>
                  </pic:blipFill>
                  <pic:spPr>
                    <a:xfrm>
                      <a:off x="0" y="0"/>
                      <a:ext cx="5581015" cy="7745104"/>
                    </a:xfrm>
                    <a:prstGeom prst="rect">
                      <a:avLst/>
                    </a:prstGeom>
                  </pic:spPr>
                </pic:pic>
              </a:graphicData>
            </a:graphic>
          </wp:inline>
        </w:drawing>
      </w:r>
    </w:p>
    <w:p w:rsidR="00A92837" w:rsidRDefault="00A92837">
      <w:r>
        <w:br w:type="page"/>
      </w:r>
    </w:p>
    <w:p w:rsidR="00A91B29" w:rsidRPr="003F1051" w:rsidRDefault="00A91B29" w:rsidP="00A63D8E">
      <w:pPr>
        <w:pStyle w:val="Tabletitle"/>
      </w:pPr>
      <w:r w:rsidRPr="003F1051">
        <w:lastRenderedPageBreak/>
        <w:t xml:space="preserve">Western </w:t>
      </w:r>
      <w:r w:rsidRPr="006A7748">
        <w:t>Murray</w:t>
      </w:r>
      <w:r w:rsidRPr="003F1051">
        <w:t xml:space="preserve"> Irrigation – </w:t>
      </w:r>
      <w:r w:rsidR="001C3657">
        <w:t>2015−16</w:t>
      </w:r>
      <w:r w:rsidRPr="003F1051">
        <w:t xml:space="preserve"> Schedule of Charges – </w:t>
      </w:r>
      <w:r w:rsidR="00111651">
        <w:t>Applicable from</w:t>
      </w:r>
      <w:r w:rsidR="00111651" w:rsidRPr="003F1051">
        <w:t xml:space="preserve"> </w:t>
      </w:r>
      <w:r w:rsidRPr="003F1051">
        <w:t xml:space="preserve">31 March 2016 to 30 </w:t>
      </w:r>
      <w:r w:rsidRPr="006A7748">
        <w:t>June</w:t>
      </w:r>
      <w:r w:rsidRPr="003F1051">
        <w:t xml:space="preserve"> 2016</w:t>
      </w:r>
    </w:p>
    <w:p w:rsidR="00A91B29" w:rsidRDefault="00A91B29" w:rsidP="00897AA5">
      <w:r>
        <w:rPr>
          <w:noProof/>
          <w:lang w:eastAsia="en-AU"/>
        </w:rPr>
        <w:drawing>
          <wp:inline distT="0" distB="0" distL="0" distR="0" wp14:anchorId="3546DC70" wp14:editId="7A8378DE">
            <wp:extent cx="5731510" cy="7769860"/>
            <wp:effectExtent l="0" t="0" r="2540" b="2540"/>
            <wp:docPr id="107" name="Picture 2" descr="Schedule of Charges of Western Murray Irrigation Limited used by the ACCC to prepare hypothetical bills for the 2015-16 water year. Charges valid from 31 March 2016 to 30 June 2016." title="Western Murray Irrigation Limited Schedule of Charges, 2015-16, Valid 31 March 2016 to 30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9"/>
                    <a:stretch>
                      <a:fillRect/>
                    </a:stretch>
                  </pic:blipFill>
                  <pic:spPr>
                    <a:xfrm>
                      <a:off x="0" y="0"/>
                      <a:ext cx="5731510" cy="7769860"/>
                    </a:xfrm>
                    <a:prstGeom prst="rect">
                      <a:avLst/>
                    </a:prstGeom>
                  </pic:spPr>
                </pic:pic>
              </a:graphicData>
            </a:graphic>
          </wp:inline>
        </w:drawing>
      </w:r>
    </w:p>
    <w:p w:rsidR="00897AA5" w:rsidRDefault="00897AA5" w:rsidP="00736EBA">
      <w:pPr>
        <w:pStyle w:val="Numbered111"/>
      </w:pPr>
      <w:bookmarkStart w:id="161" w:name="_Toc447900613"/>
      <w:bookmarkStart w:id="162" w:name="_Toc449693003"/>
      <w:bookmarkStart w:id="163" w:name="_Toc485303360"/>
      <w:r>
        <w:lastRenderedPageBreak/>
        <w:t>Coleambally Irrigation Cooperative Limited (C</w:t>
      </w:r>
      <w:r w:rsidR="006449F2">
        <w:t>ICL</w:t>
      </w:r>
      <w:r>
        <w:t>), NSW Murrumbidgee</w:t>
      </w:r>
      <w:bookmarkEnd w:id="159"/>
      <w:bookmarkEnd w:id="160"/>
      <w:bookmarkEnd w:id="161"/>
      <w:bookmarkEnd w:id="162"/>
      <w:bookmarkEnd w:id="163"/>
      <w:r>
        <w:t xml:space="preserve"> </w:t>
      </w:r>
    </w:p>
    <w:p w:rsidR="00897AA5" w:rsidRDefault="00897AA5" w:rsidP="00897AA5">
      <w:pPr>
        <w:pStyle w:val="Heading4"/>
        <w:keepNext/>
      </w:pPr>
      <w:bookmarkStart w:id="164" w:name="_Toc418071380"/>
      <w:r>
        <w:t>Off-river IO hypothetical bill</w:t>
      </w:r>
    </w:p>
    <w:bookmarkEnd w:id="164"/>
    <w:p w:rsidR="00897AA5" w:rsidRDefault="00897AA5" w:rsidP="00897AA5">
      <w:r>
        <w:t xml:space="preserve">The analysis assumes one irrigator in </w:t>
      </w:r>
      <w:r w:rsidR="006449F2">
        <w:t xml:space="preserve">CICL’s </w:t>
      </w:r>
      <w:r>
        <w:t>network who:</w:t>
      </w:r>
    </w:p>
    <w:p w:rsidR="00897AA5" w:rsidRDefault="00897AA5" w:rsidP="00DA47C0">
      <w:pPr>
        <w:pStyle w:val="Bulletpoint"/>
      </w:pPr>
      <w:r>
        <w:t xml:space="preserve">holds a specific </w:t>
      </w:r>
      <w:r w:rsidR="00AD0BEA">
        <w:t xml:space="preserve">volume </w:t>
      </w:r>
      <w:r>
        <w:t xml:space="preserve">of general security </w:t>
      </w:r>
      <w:r w:rsidR="00471ABC">
        <w:t xml:space="preserve">irrigation right </w:t>
      </w:r>
      <w:r>
        <w:t>(50 ML, 250 ML or 1000 ML)</w:t>
      </w:r>
    </w:p>
    <w:p w:rsidR="00897AA5" w:rsidRDefault="00897AA5" w:rsidP="00DA47C0">
      <w:pPr>
        <w:pStyle w:val="Bulletpoint"/>
      </w:pPr>
      <w:r>
        <w:t xml:space="preserve">holds an equivalent amount of </w:t>
      </w:r>
      <w:r w:rsidR="00F97F07">
        <w:t xml:space="preserve">general security </w:t>
      </w:r>
      <w:r>
        <w:t>water delivery right (50 ML, 250 ML or 1000 ML respectively) and</w:t>
      </w:r>
    </w:p>
    <w:p w:rsidR="00897AA5" w:rsidRDefault="00897AA5" w:rsidP="00DA47C0">
      <w:pPr>
        <w:pStyle w:val="Bulletpoint"/>
      </w:pPr>
      <w:r>
        <w:t>is connected to the network through one large common irrigation outlet.</w:t>
      </w:r>
    </w:p>
    <w:p w:rsidR="00897AA5" w:rsidRDefault="00897AA5" w:rsidP="00897AA5">
      <w:r>
        <w:t xml:space="preserve">The </w:t>
      </w:r>
      <w:r w:rsidR="001C3657">
        <w:t>2015−16</w:t>
      </w:r>
      <w:r>
        <w:t xml:space="preserve"> hypothetical bill analysis includes the following charges listed on C</w:t>
      </w:r>
      <w:r w:rsidR="006449F2">
        <w:t>ICL</w:t>
      </w:r>
      <w:r>
        <w:t>’s schedule of charges.</w:t>
      </w:r>
    </w:p>
    <w:p w:rsidR="00897AA5" w:rsidRDefault="00897AA5" w:rsidP="00897AA5">
      <w:r>
        <w:t>Fixed:</w:t>
      </w:r>
    </w:p>
    <w:p w:rsidR="00897AA5" w:rsidRDefault="00897AA5" w:rsidP="00DA47C0">
      <w:pPr>
        <w:pStyle w:val="Bulletpoint"/>
      </w:pPr>
      <w:r>
        <w:t>CICL access fee</w:t>
      </w:r>
      <w:r w:rsidR="00516314">
        <w:t xml:space="preserve"> (levied per ML of ‘delivery entitlement’ (water delivery right) held)</w:t>
      </w:r>
    </w:p>
    <w:p w:rsidR="00897AA5" w:rsidRDefault="00897AA5" w:rsidP="00DA47C0">
      <w:pPr>
        <w:pStyle w:val="Bulletpoint"/>
      </w:pPr>
      <w:r>
        <w:t>compliance fee</w:t>
      </w:r>
      <w:r w:rsidR="00516314">
        <w:t xml:space="preserve"> (levied per ML of ‘delivery entitlement’ (water delivery right) held)</w:t>
      </w:r>
    </w:p>
    <w:p w:rsidR="00897AA5" w:rsidRDefault="00897AA5" w:rsidP="00DA47C0">
      <w:pPr>
        <w:pStyle w:val="Bulletpoint"/>
      </w:pPr>
      <w:r>
        <w:t>CIMCL Levy</w:t>
      </w:r>
      <w:r w:rsidR="00516314">
        <w:t xml:space="preserve"> (levied per ML of ‘delivery entitlement’ (water delivery right) held)</w:t>
      </w:r>
    </w:p>
    <w:p w:rsidR="00897AA5" w:rsidRDefault="00897AA5" w:rsidP="00DA47C0">
      <w:pPr>
        <w:pStyle w:val="Bulletpoint"/>
      </w:pPr>
      <w:r>
        <w:t xml:space="preserve">large outlet charge – common irrigation outlet </w:t>
      </w:r>
      <w:r w:rsidR="00516314">
        <w:t>(levied per large outlet)</w:t>
      </w:r>
    </w:p>
    <w:p w:rsidR="00897AA5" w:rsidRDefault="00897AA5" w:rsidP="00DA47C0">
      <w:pPr>
        <w:pStyle w:val="Bulletpoint"/>
      </w:pPr>
      <w:r>
        <w:t>peak flow charge – large flume 12 to 30 ML</w:t>
      </w:r>
      <w:r w:rsidR="00F03E8D">
        <w:t>/</w:t>
      </w:r>
      <w:r>
        <w:t>day</w:t>
      </w:r>
      <w:r w:rsidR="00516314">
        <w:t xml:space="preserve"> (levied per ML of nominated peak flow for each outlet)</w:t>
      </w:r>
    </w:p>
    <w:p w:rsidR="00897AA5" w:rsidRDefault="00897AA5" w:rsidP="00DA47C0">
      <w:pPr>
        <w:pStyle w:val="Bulletpoint"/>
      </w:pPr>
      <w:r>
        <w:t xml:space="preserve">government water </w:t>
      </w:r>
      <w:r w:rsidR="00173051">
        <w:t xml:space="preserve">charges </w:t>
      </w:r>
      <w:r w:rsidR="009943EB">
        <w:t>–</w:t>
      </w:r>
      <w:r w:rsidR="00173051">
        <w:t xml:space="preserve"> </w:t>
      </w:r>
      <w:r>
        <w:t>access fee</w:t>
      </w:r>
      <w:r w:rsidR="00516314">
        <w:t xml:space="preserve"> (levied per ML of general security ‘water entitlement’ (irrigation right) held)</w:t>
      </w:r>
    </w:p>
    <w:p w:rsidR="00897AA5" w:rsidRDefault="00897AA5" w:rsidP="00897AA5">
      <w:r>
        <w:t>Variable:</w:t>
      </w:r>
    </w:p>
    <w:p w:rsidR="00897AA5" w:rsidRDefault="00897AA5" w:rsidP="00DA47C0">
      <w:pPr>
        <w:pStyle w:val="Bulletpoint"/>
      </w:pPr>
      <w:r>
        <w:t xml:space="preserve">government </w:t>
      </w:r>
      <w:r w:rsidR="00173051">
        <w:t xml:space="preserve">water charges </w:t>
      </w:r>
      <w:r w:rsidR="009943EB">
        <w:t>–</w:t>
      </w:r>
      <w:r w:rsidR="00173051">
        <w:t xml:space="preserve"> </w:t>
      </w:r>
      <w:r>
        <w:t>usage fee</w:t>
      </w:r>
      <w:r w:rsidR="00516314">
        <w:t xml:space="preserve"> (levied per ML of water delivered)</w:t>
      </w:r>
      <w:r w:rsidR="00D04160">
        <w:t>.</w:t>
      </w:r>
    </w:p>
    <w:p w:rsidR="00897AA5" w:rsidRDefault="00897AA5" w:rsidP="00897AA5">
      <w:r>
        <w:t xml:space="preserve">The peak flow charge is levied on the basis of the maximum flow capacity. For a large common irrigation outlet, the flow ranges from 6ML to </w:t>
      </w:r>
      <w:r w:rsidR="00746CB6">
        <w:t>30 </w:t>
      </w:r>
      <w:r>
        <w:t>ML per day. The maximum flow is nominated by the irrigator within this range. C</w:t>
      </w:r>
      <w:r w:rsidR="006449F2">
        <w:t>ICL</w:t>
      </w:r>
      <w:r>
        <w:t xml:space="preserve"> has </w:t>
      </w:r>
      <w:r w:rsidR="009943EB">
        <w:t>advised</w:t>
      </w:r>
      <w:r>
        <w:t xml:space="preserve"> the ACCC that irrigators typically nominate a peak flow of 15 ML and </w:t>
      </w:r>
      <w:r w:rsidR="00516314">
        <w:t xml:space="preserve">that </w:t>
      </w:r>
      <w:r>
        <w:t xml:space="preserve">most irrigators hold a </w:t>
      </w:r>
      <w:r w:rsidR="00516314">
        <w:t>‘</w:t>
      </w:r>
      <w:r>
        <w:t>water entitlement</w:t>
      </w:r>
      <w:r w:rsidR="00516314">
        <w:t>’ (irrigation right)</w:t>
      </w:r>
      <w:r>
        <w:t xml:space="preserve"> of at least 1000 ML. </w:t>
      </w:r>
    </w:p>
    <w:p w:rsidR="00897AA5" w:rsidRDefault="00897AA5" w:rsidP="00897AA5">
      <w:r>
        <w:t xml:space="preserve">As such, the </w:t>
      </w:r>
      <w:r w:rsidR="001C3657">
        <w:t>2015−16</w:t>
      </w:r>
      <w:r w:rsidR="006449F2">
        <w:t xml:space="preserve"> </w:t>
      </w:r>
      <w:r>
        <w:t xml:space="preserve">analysis assumes that in the 1000 ML scenario, the irrigator has a maximum peak flow of 15 ML per day; and in the 50 ML and 250ML scenarios, the irrigator has a maximum peak flow of 6 ML per day. </w:t>
      </w:r>
    </w:p>
    <w:p w:rsidR="00897AA5" w:rsidRDefault="00897AA5" w:rsidP="00897AA5">
      <w:r w:rsidRPr="00BC441E">
        <w:t xml:space="preserve">The government </w:t>
      </w:r>
      <w:r>
        <w:t xml:space="preserve">water </w:t>
      </w:r>
      <w:r w:rsidR="00173051">
        <w:t xml:space="preserve">charges </w:t>
      </w:r>
      <w:r>
        <w:t>access fee and</w:t>
      </w:r>
      <w:r w:rsidRPr="00BC441E">
        <w:t xml:space="preserve"> the government </w:t>
      </w:r>
      <w:r w:rsidR="00173051">
        <w:t xml:space="preserve">water charges </w:t>
      </w:r>
      <w:r w:rsidRPr="00BC441E">
        <w:t>usage</w:t>
      </w:r>
      <w:r>
        <w:t xml:space="preserve"> fee</w:t>
      </w:r>
      <w:r w:rsidRPr="00BC441E">
        <w:t xml:space="preserve"> recover both </w:t>
      </w:r>
      <w:r>
        <w:t xml:space="preserve">WaterNSW </w:t>
      </w:r>
      <w:r w:rsidRPr="00BC441E">
        <w:t xml:space="preserve">and </w:t>
      </w:r>
      <w:r>
        <w:t>DPI</w:t>
      </w:r>
      <w:r w:rsidRPr="00BC441E">
        <w:t xml:space="preserve"> </w:t>
      </w:r>
      <w:r w:rsidR="005B12D0">
        <w:t xml:space="preserve">Water </w:t>
      </w:r>
      <w:r w:rsidRPr="00BC441E">
        <w:t xml:space="preserve">fixed and usage charges imposed on </w:t>
      </w:r>
      <w:r>
        <w:t>C</w:t>
      </w:r>
      <w:r w:rsidR="00B27E93">
        <w:t>ICL</w:t>
      </w:r>
      <w:r w:rsidRPr="00BC441E">
        <w:t xml:space="preserve"> and passed on to customers.</w:t>
      </w:r>
    </w:p>
    <w:p w:rsidR="00FF633B" w:rsidRDefault="00897AA5" w:rsidP="00DA47C0">
      <w:pPr>
        <w:pStyle w:val="Bulletpoint"/>
      </w:pPr>
      <w:r>
        <w:t xml:space="preserve">Government water </w:t>
      </w:r>
      <w:r w:rsidR="00C577D8">
        <w:t xml:space="preserve">charges - </w:t>
      </w:r>
      <w:r>
        <w:t>access fee</w:t>
      </w:r>
      <w:r w:rsidR="00746CB6">
        <w:t>:</w:t>
      </w:r>
      <w:r>
        <w:t xml:space="preserve"> </w:t>
      </w:r>
      <w:r w:rsidR="00746CB6">
        <w:t>t</w:t>
      </w:r>
      <w:r w:rsidR="005B12D0">
        <w:t xml:space="preserve">his </w:t>
      </w:r>
      <w:r w:rsidR="00FF633B">
        <w:t xml:space="preserve">fee ($2.76) is equal to sum of the relevant fixed regulated WaterNSW ($1.53/ML) and DPI Water Charges ($1.23/ML) for the NSW Murrumbidgee valley. Therefore this analysis </w:t>
      </w:r>
      <w:r w:rsidR="000F02F4">
        <w:t>divides</w:t>
      </w:r>
      <w:r w:rsidR="00FF633B">
        <w:t xml:space="preserve"> the CICL access fee </w:t>
      </w:r>
      <w:r w:rsidR="000F02F4">
        <w:t xml:space="preserve">into </w:t>
      </w:r>
      <w:r w:rsidR="00FF633B">
        <w:t>these two components.</w:t>
      </w:r>
      <w:r w:rsidR="00FF633B" w:rsidDel="00A77093">
        <w:t xml:space="preserve"> </w:t>
      </w:r>
    </w:p>
    <w:p w:rsidR="00FF633B" w:rsidRDefault="00C577D8" w:rsidP="00081B94">
      <w:pPr>
        <w:pStyle w:val="Bulletpoint"/>
      </w:pPr>
      <w:r>
        <w:t>G</w:t>
      </w:r>
      <w:r w:rsidR="00897AA5">
        <w:t xml:space="preserve">overnment </w:t>
      </w:r>
      <w:r>
        <w:t xml:space="preserve">water charges - </w:t>
      </w:r>
      <w:r w:rsidR="00897AA5">
        <w:t>usage fee</w:t>
      </w:r>
      <w:r w:rsidR="00746CB6">
        <w:t>:</w:t>
      </w:r>
      <w:r w:rsidR="00897AA5">
        <w:t xml:space="preserve"> </w:t>
      </w:r>
      <w:r w:rsidR="00746CB6">
        <w:t>t</w:t>
      </w:r>
      <w:r w:rsidR="005B12D0">
        <w:t xml:space="preserve">his </w:t>
      </w:r>
      <w:r w:rsidR="00FF633B">
        <w:t xml:space="preserve">fee ($5.07) is equal to </w:t>
      </w:r>
      <w:r w:rsidR="005B12D0">
        <w:t xml:space="preserve">the </w:t>
      </w:r>
      <w:r w:rsidR="00FF633B">
        <w:t xml:space="preserve">sum of the relevant variable regulated WaterNSW ($4.28/ML) and DPI Water ($0.79/ML) </w:t>
      </w:r>
      <w:r w:rsidR="00590336">
        <w:t xml:space="preserve">usage charges </w:t>
      </w:r>
      <w:r w:rsidR="00FF633B">
        <w:t xml:space="preserve">for the NSW Murrumbidgee valley. Therefore this analysis </w:t>
      </w:r>
      <w:r w:rsidR="000F02F4">
        <w:t xml:space="preserve">divides </w:t>
      </w:r>
      <w:r w:rsidR="00FF633B">
        <w:t xml:space="preserve">the CICL </w:t>
      </w:r>
      <w:r w:rsidR="00590336">
        <w:t xml:space="preserve">Government water charges </w:t>
      </w:r>
      <w:r w:rsidR="00FF633B">
        <w:t xml:space="preserve">fee </w:t>
      </w:r>
      <w:r w:rsidR="000F02F4">
        <w:t xml:space="preserve">into </w:t>
      </w:r>
      <w:r w:rsidR="00FF633B">
        <w:t>these two components.</w:t>
      </w:r>
      <w:r w:rsidR="00FF633B" w:rsidDel="00A77093">
        <w:t xml:space="preserve"> </w:t>
      </w:r>
    </w:p>
    <w:p w:rsidR="00897AA5" w:rsidRDefault="00897AA5" w:rsidP="003F1051">
      <w:pPr>
        <w:pStyle w:val="Heading4"/>
        <w:keepNext/>
      </w:pPr>
      <w:bookmarkStart w:id="165" w:name="_Toc418071381"/>
      <w:r>
        <w:lastRenderedPageBreak/>
        <w:t>Hypothetical termination fee</w:t>
      </w:r>
      <w:bookmarkEnd w:id="165"/>
    </w:p>
    <w:p w:rsidR="00897AA5" w:rsidRDefault="00897AA5" w:rsidP="00081B94">
      <w:r>
        <w:t>The hypothetical termination fee is calculated assuming 250 ML of water delivery right is held, with either 50 or 100 per cent of this volume terminated.</w:t>
      </w:r>
    </w:p>
    <w:p w:rsidR="00CD7F03" w:rsidRDefault="00897AA5" w:rsidP="00081B94">
      <w:r w:rsidRPr="004405B5">
        <w:t xml:space="preserve">The fixed off-river infrastructures charges on </w:t>
      </w:r>
      <w:r w:rsidR="006449F2" w:rsidRPr="004405B5">
        <w:t xml:space="preserve">CICL’s </w:t>
      </w:r>
      <w:r w:rsidRPr="004405B5">
        <w:t xml:space="preserve">schedule of charges </w:t>
      </w:r>
      <w:r w:rsidR="006449F2" w:rsidRPr="004405B5">
        <w:t>(i.e. the CICL Access Fee, Compliance Fee</w:t>
      </w:r>
      <w:r w:rsidR="000A560F">
        <w:t xml:space="preserve">, </w:t>
      </w:r>
      <w:r w:rsidR="006449F2" w:rsidRPr="004405B5">
        <w:t>CIMCL Levy</w:t>
      </w:r>
      <w:r w:rsidR="008E592A">
        <w:t>) are</w:t>
      </w:r>
      <w:r w:rsidRPr="004405B5">
        <w:t xml:space="preserve"> included in the calculation of the hypothetical termination fee</w:t>
      </w:r>
      <w:r w:rsidR="004405B5" w:rsidRPr="003F1051">
        <w:t xml:space="preserve"> under both scenarios</w:t>
      </w:r>
      <w:r w:rsidRPr="004405B5">
        <w:t xml:space="preserve">. </w:t>
      </w:r>
      <w:r w:rsidR="00546650" w:rsidRPr="003F1051">
        <w:t>For the 100 per cent termination scenario only, t</w:t>
      </w:r>
      <w:r w:rsidR="00546650" w:rsidRPr="004405B5">
        <w:t>he large common irrigation outlet charge and maximum peak flow charge are included in the calculation of the termination fee (</w:t>
      </w:r>
      <w:r w:rsidR="00546650" w:rsidRPr="003F1051">
        <w:t xml:space="preserve">as </w:t>
      </w:r>
      <w:r w:rsidR="00546650" w:rsidRPr="004405B5">
        <w:t>the irrigator is assumed to be disconnecting from the network).</w:t>
      </w:r>
      <w:r w:rsidR="00546650">
        <w:t xml:space="preserve"> </w:t>
      </w:r>
    </w:p>
    <w:p w:rsidR="00CD7F03" w:rsidRDefault="00CD7F03" w:rsidP="00081B94">
      <w:r>
        <w:t xml:space="preserve">The dollar amount of each of these fixed charges (as applicable) is multiplied by ten and then added together as part of the calculation of the hypothetical bill. </w:t>
      </w:r>
    </w:p>
    <w:p w:rsidR="00897AA5" w:rsidRDefault="001C3657" w:rsidP="00A63D8E">
      <w:pPr>
        <w:pStyle w:val="Heading4"/>
        <w:keepNext/>
      </w:pPr>
      <w:r>
        <w:t>2015−16</w:t>
      </w:r>
      <w:r w:rsidR="006449F2">
        <w:t xml:space="preserve"> </w:t>
      </w:r>
      <w:r w:rsidR="00897AA5">
        <w:t>Schedule of charges</w:t>
      </w:r>
    </w:p>
    <w:p w:rsidR="00897AA5" w:rsidRDefault="00897AA5" w:rsidP="00897AA5">
      <w:r w:rsidRPr="008F68EF">
        <w:t>The ACCC sourced C</w:t>
      </w:r>
      <w:r w:rsidR="006449F2" w:rsidRPr="008F68EF">
        <w:t>ICL</w:t>
      </w:r>
      <w:r w:rsidRPr="008F68EF">
        <w:t>’s schedule</w:t>
      </w:r>
      <w:r w:rsidR="008F68EF">
        <w:t>s</w:t>
      </w:r>
      <w:r w:rsidRPr="008F68EF">
        <w:t xml:space="preserve"> of charges from </w:t>
      </w:r>
      <w:r w:rsidR="00825451" w:rsidRPr="008F68EF">
        <w:t>CICL’s</w:t>
      </w:r>
      <w:r w:rsidRPr="008F68EF">
        <w:t xml:space="preserve"> </w:t>
      </w:r>
      <w:r w:rsidR="0051686D">
        <w:t>website:</w:t>
      </w:r>
      <w:r w:rsidRPr="008F68EF">
        <w:t xml:space="preserve"> </w:t>
      </w:r>
      <w:hyperlink r:id="rId80" w:history="1">
        <w:r w:rsidRPr="008F68EF">
          <w:rPr>
            <w:rStyle w:val="Hyperlink"/>
          </w:rPr>
          <w:t>http://new.colyirr.com.au/Information/FeesPricing/tabid/135/Default.aspx</w:t>
        </w:r>
      </w:hyperlink>
      <w:r w:rsidRPr="008F68EF">
        <w:t>.</w:t>
      </w:r>
      <w:r>
        <w:t xml:space="preserve"> </w:t>
      </w:r>
    </w:p>
    <w:p w:rsidR="00226478" w:rsidRDefault="00226478" w:rsidP="00897AA5">
      <w:r>
        <w:t xml:space="preserve">CICL released two schedules of charges for </w:t>
      </w:r>
      <w:r w:rsidR="001C3657">
        <w:t>2015−16</w:t>
      </w:r>
      <w:r>
        <w:t>, the ‘</w:t>
      </w:r>
      <w:r w:rsidR="001C3657">
        <w:t>2015−16</w:t>
      </w:r>
      <w:r>
        <w:t xml:space="preserve"> Schedule of Water Access Charges’ </w:t>
      </w:r>
      <w:r w:rsidR="0051249D">
        <w:t xml:space="preserve">(original schedule) </w:t>
      </w:r>
      <w:r>
        <w:t xml:space="preserve">and the ‘Repriced </w:t>
      </w:r>
      <w:r w:rsidR="001C3657">
        <w:t>2015−16</w:t>
      </w:r>
      <w:r>
        <w:t xml:space="preserve"> Schedule of Water Access Charges’</w:t>
      </w:r>
      <w:r w:rsidR="0051249D">
        <w:t xml:space="preserve"> (repriced schedule)</w:t>
      </w:r>
      <w:r>
        <w:t xml:space="preserve">. The </w:t>
      </w:r>
      <w:r w:rsidR="0051249D">
        <w:t xml:space="preserve">repriced </w:t>
      </w:r>
      <w:r>
        <w:t xml:space="preserve">schedule </w:t>
      </w:r>
      <w:r w:rsidR="0051249D">
        <w:t xml:space="preserve">set substantially lower access fees per ML of delivery entitlement for all </w:t>
      </w:r>
      <w:r w:rsidR="0051249D" w:rsidRPr="00A60541">
        <w:t xml:space="preserve">customers than the original schedule. </w:t>
      </w:r>
      <w:r w:rsidR="00D5593F" w:rsidRPr="006B2AA6">
        <w:t xml:space="preserve">The ACCC’s hypothetical bills for CICL are based solely on the </w:t>
      </w:r>
      <w:r w:rsidR="00A60541" w:rsidRPr="00A63D8E">
        <w:t>repriced</w:t>
      </w:r>
      <w:r w:rsidR="00D5593F" w:rsidRPr="00A60541">
        <w:t xml:space="preserve"> schedule, </w:t>
      </w:r>
      <w:r w:rsidR="0051249D" w:rsidRPr="00484247">
        <w:t xml:space="preserve">as CICL reports that no bills were sent to customers </w:t>
      </w:r>
      <w:r w:rsidR="00746CB6">
        <w:t>using</w:t>
      </w:r>
      <w:r w:rsidR="0051249D" w:rsidRPr="00484247">
        <w:t xml:space="preserve"> the </w:t>
      </w:r>
      <w:r w:rsidR="00E172D9">
        <w:t>charge</w:t>
      </w:r>
      <w:r w:rsidR="00E172D9" w:rsidRPr="00484247">
        <w:t xml:space="preserve">s </w:t>
      </w:r>
      <w:r w:rsidR="0051249D" w:rsidRPr="00484247">
        <w:t>set out in the original schedule.</w:t>
      </w:r>
    </w:p>
    <w:p w:rsidR="00897AA5" w:rsidRPr="00891FF3" w:rsidRDefault="00A24441" w:rsidP="00897AA5">
      <w:bookmarkStart w:id="166" w:name="_Toc418071382"/>
      <w:bookmarkStart w:id="167" w:name="_Toc418495369"/>
      <w:bookmarkStart w:id="168" w:name="_Toc447900614"/>
      <w:r>
        <w:rPr>
          <w:noProof/>
          <w:lang w:eastAsia="en-AU"/>
        </w:rPr>
        <w:lastRenderedPageBreak/>
        <w:drawing>
          <wp:inline distT="0" distB="0" distL="0" distR="0" wp14:anchorId="20C0E818" wp14:editId="2394958C">
            <wp:extent cx="5448300" cy="8229600"/>
            <wp:effectExtent l="0" t="0" r="0" b="0"/>
            <wp:docPr id="2" name="Picture 1" descr="This is the original Schedule of Charges of Coleambally Irrigation Co-operative Limited released for the 2015-16 water year. It was not used by the ACCC to prepare hypothetical bills for the 2015-16 water year (See Schedule of Charges 2015-16 section for Coleambally Irrigation Co-operative Limited above for the reasoning relating to this)." title="Original Coleambally Irrigation Co-operative Limited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1"/>
                    <a:stretch>
                      <a:fillRect/>
                    </a:stretch>
                  </pic:blipFill>
                  <pic:spPr>
                    <a:xfrm>
                      <a:off x="0" y="0"/>
                      <a:ext cx="5448300" cy="8229600"/>
                    </a:xfrm>
                    <a:prstGeom prst="rect">
                      <a:avLst/>
                    </a:prstGeom>
                  </pic:spPr>
                </pic:pic>
              </a:graphicData>
            </a:graphic>
          </wp:inline>
        </w:drawing>
      </w:r>
    </w:p>
    <w:p w:rsidR="00B61F1C" w:rsidRDefault="00B61F1C" w:rsidP="00736EBA">
      <w:bookmarkStart w:id="169" w:name="_Toc449693004"/>
      <w:r>
        <w:rPr>
          <w:noProof/>
          <w:lang w:eastAsia="en-AU"/>
        </w:rPr>
        <w:lastRenderedPageBreak/>
        <w:drawing>
          <wp:inline distT="0" distB="0" distL="0" distR="0" wp14:anchorId="1639D183" wp14:editId="4327442A">
            <wp:extent cx="5495290" cy="8229600"/>
            <wp:effectExtent l="0" t="0" r="0" b="0"/>
            <wp:docPr id="112" name="Picture 112" descr="Schedule of Charges of Coleambally Irrigation Co-operative Limited used by the ACCC to prepare hypothetical bills for the 2015-16 water year. " title="Repriced Coleambally Irrigation Co-operative Limited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95290" cy="8229600"/>
                    </a:xfrm>
                    <a:prstGeom prst="rect">
                      <a:avLst/>
                    </a:prstGeom>
                  </pic:spPr>
                </pic:pic>
              </a:graphicData>
            </a:graphic>
          </wp:inline>
        </w:drawing>
      </w:r>
    </w:p>
    <w:p w:rsidR="00897AA5" w:rsidRDefault="00897AA5" w:rsidP="00736EBA">
      <w:pPr>
        <w:pStyle w:val="Numbered111"/>
      </w:pPr>
      <w:bookmarkStart w:id="170" w:name="_Toc485303361"/>
      <w:r>
        <w:lastRenderedPageBreak/>
        <w:t>Murrumbidgee Irrigation Limited (MI), NSW Murrumbidgee</w:t>
      </w:r>
      <w:bookmarkEnd w:id="166"/>
      <w:bookmarkEnd w:id="167"/>
      <w:bookmarkEnd w:id="168"/>
      <w:bookmarkEnd w:id="169"/>
      <w:bookmarkEnd w:id="170"/>
    </w:p>
    <w:p w:rsidR="00897AA5" w:rsidRDefault="00897AA5" w:rsidP="00897AA5">
      <w:pPr>
        <w:pStyle w:val="Heading4"/>
        <w:keepNext/>
      </w:pPr>
      <w:bookmarkStart w:id="171" w:name="_Toc418071383"/>
      <w:r>
        <w:t>Off-river IO hypothetical bill</w:t>
      </w:r>
    </w:p>
    <w:bookmarkEnd w:id="171"/>
    <w:p w:rsidR="00897AA5" w:rsidRDefault="00897AA5" w:rsidP="00897AA5">
      <w:r>
        <w:t xml:space="preserve">The analysis applies to </w:t>
      </w:r>
      <w:r w:rsidR="00B656E8">
        <w:t xml:space="preserve">the following </w:t>
      </w:r>
      <w:r>
        <w:t xml:space="preserve">six </w:t>
      </w:r>
      <w:r w:rsidR="00B656E8">
        <w:t xml:space="preserve">types of </w:t>
      </w:r>
      <w:r>
        <w:t xml:space="preserve">irrigators across MI’s four pricing groups: </w:t>
      </w:r>
    </w:p>
    <w:p w:rsidR="00B656E8" w:rsidRDefault="00CB5273" w:rsidP="00DA47C0">
      <w:pPr>
        <w:pStyle w:val="Bulletpoint"/>
      </w:pPr>
      <w:r>
        <w:t>Small Area Supplies (SAS)</w:t>
      </w:r>
    </w:p>
    <w:p w:rsidR="00B656E8" w:rsidRDefault="00B656E8" w:rsidP="00F90601">
      <w:pPr>
        <w:pStyle w:val="Bulletpoint2"/>
      </w:pPr>
      <w:r>
        <w:t xml:space="preserve">high security </w:t>
      </w:r>
      <w:r w:rsidR="00746CB6">
        <w:t xml:space="preserve">irrigation right </w:t>
      </w:r>
      <w:r>
        <w:t>holder</w:t>
      </w:r>
    </w:p>
    <w:p w:rsidR="00897AA5" w:rsidRDefault="00B656E8" w:rsidP="00F90601">
      <w:pPr>
        <w:pStyle w:val="Bulletpoint2"/>
      </w:pPr>
      <w:r>
        <w:t xml:space="preserve">general security </w:t>
      </w:r>
      <w:r w:rsidR="00746CB6">
        <w:t>irrigation right</w:t>
      </w:r>
      <w:r>
        <w:t xml:space="preserve"> holder</w:t>
      </w:r>
    </w:p>
    <w:p w:rsidR="00897AA5" w:rsidRDefault="00CB5273" w:rsidP="00DA47C0">
      <w:pPr>
        <w:pStyle w:val="Bulletpoint"/>
      </w:pPr>
      <w:r>
        <w:t xml:space="preserve">Large Area Supply (LAS) </w:t>
      </w:r>
    </w:p>
    <w:p w:rsidR="00B656E8" w:rsidRDefault="00B656E8" w:rsidP="00F90601">
      <w:pPr>
        <w:pStyle w:val="Bulletpoint2"/>
      </w:pPr>
      <w:r>
        <w:t xml:space="preserve">high security </w:t>
      </w:r>
      <w:r w:rsidR="00746CB6">
        <w:t xml:space="preserve">irrigation right </w:t>
      </w:r>
      <w:r>
        <w:t>holder</w:t>
      </w:r>
    </w:p>
    <w:p w:rsidR="00B656E8" w:rsidRDefault="00B656E8" w:rsidP="00F90601">
      <w:pPr>
        <w:pStyle w:val="Bulletpoint2"/>
      </w:pPr>
      <w:r>
        <w:t xml:space="preserve">general security </w:t>
      </w:r>
      <w:r w:rsidR="00746CB6">
        <w:t>irrigation right</w:t>
      </w:r>
      <w:r>
        <w:t xml:space="preserve"> holder</w:t>
      </w:r>
    </w:p>
    <w:p w:rsidR="00B656E8" w:rsidRDefault="00CB5273" w:rsidP="00DA47C0">
      <w:pPr>
        <w:pStyle w:val="Bulletpoint"/>
      </w:pPr>
      <w:r>
        <w:t xml:space="preserve">Large Area Supply Wah Wah </w:t>
      </w:r>
      <w:r w:rsidR="00992694">
        <w:t>exclud</w:t>
      </w:r>
      <w:r>
        <w:t>ing IHS (LAW)</w:t>
      </w:r>
    </w:p>
    <w:p w:rsidR="00B656E8" w:rsidRDefault="00B656E8" w:rsidP="00F90601">
      <w:pPr>
        <w:pStyle w:val="Bulletpoint2"/>
      </w:pPr>
      <w:r>
        <w:t xml:space="preserve">general security </w:t>
      </w:r>
      <w:r w:rsidR="00746CB6">
        <w:t xml:space="preserve">irrigation right </w:t>
      </w:r>
      <w:r>
        <w:t>holder</w:t>
      </w:r>
    </w:p>
    <w:p w:rsidR="00B656E8" w:rsidRDefault="00CB5273" w:rsidP="00DA47C0">
      <w:pPr>
        <w:pStyle w:val="Bulletpoint"/>
      </w:pPr>
      <w:r>
        <w:t>Integrated Horticulture Supply (IHS)</w:t>
      </w:r>
    </w:p>
    <w:p w:rsidR="00897AA5" w:rsidRDefault="00B656E8" w:rsidP="00F90601">
      <w:pPr>
        <w:pStyle w:val="Bulletpoint2"/>
      </w:pPr>
      <w:r>
        <w:t xml:space="preserve">high security </w:t>
      </w:r>
      <w:r w:rsidR="00746CB6">
        <w:t xml:space="preserve">irrigation right </w:t>
      </w:r>
      <w:r>
        <w:t>holder</w:t>
      </w:r>
      <w:r w:rsidR="00897AA5">
        <w:t>.</w:t>
      </w:r>
    </w:p>
    <w:p w:rsidR="00897AA5" w:rsidRDefault="00B656E8" w:rsidP="00A63D8E">
      <w:r>
        <w:t xml:space="preserve">Each </w:t>
      </w:r>
      <w:r w:rsidR="00897AA5">
        <w:t xml:space="preserve">irrigator </w:t>
      </w:r>
      <w:r>
        <w:t xml:space="preserve">is assumed to </w:t>
      </w:r>
      <w:r w:rsidR="00897AA5">
        <w:t>hold</w:t>
      </w:r>
      <w:r>
        <w:t xml:space="preserve"> </w:t>
      </w:r>
      <w:r w:rsidR="00897AA5">
        <w:t xml:space="preserve">a specific volume of irrigation right (50 ML, 250 ML or 1000 ML) </w:t>
      </w:r>
      <w:r>
        <w:t xml:space="preserve">of the relevant security, </w:t>
      </w:r>
      <w:r w:rsidR="00897AA5">
        <w:t xml:space="preserve">with an equivalent volume of </w:t>
      </w:r>
      <w:r w:rsidR="00746CB6">
        <w:t>'</w:t>
      </w:r>
      <w:r w:rsidR="00897AA5">
        <w:t>delivery entitlement (50 ML, 250 ML or 1000 ML, respectively)</w:t>
      </w:r>
      <w:r>
        <w:t>.</w:t>
      </w:r>
    </w:p>
    <w:p w:rsidR="00897AA5" w:rsidRDefault="00897AA5" w:rsidP="00897AA5">
      <w:r w:rsidRPr="00564AB0">
        <w:t xml:space="preserve">IHS customers </w:t>
      </w:r>
      <w:r w:rsidR="00746CB6">
        <w:t xml:space="preserve">are required to </w:t>
      </w:r>
      <w:r w:rsidRPr="00564AB0">
        <w:t xml:space="preserve">pay </w:t>
      </w:r>
      <w:r w:rsidR="001B3F1B" w:rsidRPr="003F1051">
        <w:t xml:space="preserve">75 per cent of the </w:t>
      </w:r>
      <w:r w:rsidRPr="00564AB0">
        <w:t>electricity charges</w:t>
      </w:r>
      <w:r w:rsidR="001B3F1B" w:rsidRPr="003F1051">
        <w:t xml:space="preserve"> that MI is charged. The remaining 25 per cent is s</w:t>
      </w:r>
      <w:r w:rsidR="00334D58">
        <w:t>hared</w:t>
      </w:r>
      <w:r w:rsidR="001B3F1B" w:rsidRPr="003F1051">
        <w:t xml:space="preserve"> among remaining MI customers. </w:t>
      </w:r>
      <w:r w:rsidRPr="00564AB0">
        <w:t>Electricity</w:t>
      </w:r>
      <w:r>
        <w:t xml:space="preserve"> usage charges depend on several factors, including the level of water pressure and the time period of electricity use (peak/off peak periods). The electricity </w:t>
      </w:r>
      <w:r w:rsidR="00E172D9">
        <w:t xml:space="preserve">charge </w:t>
      </w:r>
      <w:r>
        <w:t xml:space="preserve">calculated for the </w:t>
      </w:r>
      <w:r w:rsidR="00634038">
        <w:t>2015</w:t>
      </w:r>
      <w:r>
        <w:t>−</w:t>
      </w:r>
      <w:r w:rsidR="00634038">
        <w:t xml:space="preserve">16 </w:t>
      </w:r>
      <w:r>
        <w:t>hypothetical bill analysis is a weighted average of peak, shoulder and off-peak times across all IHS pump stations.</w:t>
      </w:r>
      <w:r>
        <w:rPr>
          <w:rStyle w:val="FootnoteReference"/>
        </w:rPr>
        <w:footnoteReference w:id="59"/>
      </w:r>
      <w:r>
        <w:t xml:space="preserve">  </w:t>
      </w:r>
    </w:p>
    <w:p w:rsidR="00897AA5" w:rsidRDefault="00897AA5" w:rsidP="00897AA5">
      <w:r>
        <w:t xml:space="preserve">Further assumptions for </w:t>
      </w:r>
      <w:r w:rsidR="00634038">
        <w:t>calculating hypothetical bills include that irrigator</w:t>
      </w:r>
      <w:r w:rsidR="001A0DE8">
        <w:t>s</w:t>
      </w:r>
      <w:r w:rsidR="00634038">
        <w:t>:</w:t>
      </w:r>
    </w:p>
    <w:p w:rsidR="00897AA5" w:rsidRDefault="00634038" w:rsidP="00DA47C0">
      <w:pPr>
        <w:pStyle w:val="Bulletpoint"/>
      </w:pPr>
      <w:r>
        <w:t xml:space="preserve">in </w:t>
      </w:r>
      <w:r w:rsidR="001A0DE8">
        <w:t>all</w:t>
      </w:r>
      <w:r>
        <w:t xml:space="preserve"> pricing group</w:t>
      </w:r>
      <w:r w:rsidR="001A0DE8">
        <w:t>s</w:t>
      </w:r>
      <w:r w:rsidR="00897AA5">
        <w:t xml:space="preserve"> ha</w:t>
      </w:r>
      <w:r w:rsidR="001A0DE8">
        <w:t>ve</w:t>
      </w:r>
      <w:r w:rsidR="00897AA5">
        <w:t xml:space="preserve"> one farm connected and thus pay the landholding charge once</w:t>
      </w:r>
    </w:p>
    <w:p w:rsidR="00B21593" w:rsidRDefault="00634038" w:rsidP="00DA47C0">
      <w:pPr>
        <w:pStyle w:val="Bulletpoint"/>
      </w:pPr>
      <w:r>
        <w:t xml:space="preserve">in the </w:t>
      </w:r>
      <w:r w:rsidR="001A0DE8">
        <w:t>LAS and LAW</w:t>
      </w:r>
      <w:r>
        <w:t xml:space="preserve"> pricing group </w:t>
      </w:r>
      <w:r w:rsidR="00897AA5">
        <w:t>ha</w:t>
      </w:r>
      <w:r w:rsidR="001A0DE8">
        <w:t>ve</w:t>
      </w:r>
      <w:r w:rsidR="00897AA5">
        <w:t xml:space="preserve"> </w:t>
      </w:r>
      <w:r w:rsidR="00F65E81">
        <w:t>two</w:t>
      </w:r>
      <w:r w:rsidR="00B21593">
        <w:t xml:space="preserve"> outlet</w:t>
      </w:r>
      <w:r w:rsidR="00F65E81">
        <w:t>s</w:t>
      </w:r>
      <w:r w:rsidR="00B21593">
        <w:t xml:space="preserve"> connected and thus pay the outlet charge </w:t>
      </w:r>
      <w:r w:rsidR="00F65E81">
        <w:t>twice</w:t>
      </w:r>
    </w:p>
    <w:p w:rsidR="00B21593" w:rsidRDefault="00B21593" w:rsidP="00DA47C0">
      <w:pPr>
        <w:pStyle w:val="Bulletpoint"/>
      </w:pPr>
      <w:r>
        <w:t xml:space="preserve">in the </w:t>
      </w:r>
      <w:r w:rsidR="001A0DE8">
        <w:t>SAS and IHS</w:t>
      </w:r>
      <w:r>
        <w:t xml:space="preserve"> pricing group</w:t>
      </w:r>
      <w:r w:rsidR="001A0DE8">
        <w:t>s</w:t>
      </w:r>
      <w:r>
        <w:t xml:space="preserve"> ha</w:t>
      </w:r>
      <w:r w:rsidR="001A0DE8">
        <w:t>ve</w:t>
      </w:r>
      <w:r>
        <w:t xml:space="preserve"> </w:t>
      </w:r>
      <w:r w:rsidR="00F65E81">
        <w:t xml:space="preserve">one </w:t>
      </w:r>
      <w:r>
        <w:t xml:space="preserve">outlet connected and thus pay the outlet charge </w:t>
      </w:r>
      <w:r w:rsidR="00F65E81">
        <w:t>once</w:t>
      </w:r>
      <w:r>
        <w:t>.</w:t>
      </w:r>
    </w:p>
    <w:p w:rsidR="00897AA5" w:rsidRDefault="00897AA5" w:rsidP="00897AA5">
      <w:r>
        <w:t xml:space="preserve">The </w:t>
      </w:r>
      <w:r w:rsidR="001C3657">
        <w:t>2015−16</w:t>
      </w:r>
      <w:r w:rsidR="00634038">
        <w:t xml:space="preserve"> </w:t>
      </w:r>
      <w:r>
        <w:t xml:space="preserve">hypothetical bill analysis for </w:t>
      </w:r>
      <w:r w:rsidR="00FC4F86">
        <w:t xml:space="preserve">a customer in </w:t>
      </w:r>
      <w:r>
        <w:t xml:space="preserve">each of MI’s six </w:t>
      </w:r>
      <w:r w:rsidR="00FC4F86">
        <w:t xml:space="preserve">irrigation </w:t>
      </w:r>
      <w:r>
        <w:t>network</w:t>
      </w:r>
      <w:r w:rsidR="00FC4F86">
        <w:t>s</w:t>
      </w:r>
      <w:r>
        <w:t xml:space="preserve"> includes the following charges listed on MI’s schedule of charges.  </w:t>
      </w:r>
    </w:p>
    <w:p w:rsidR="00897AA5" w:rsidRDefault="00897AA5" w:rsidP="00897AA5">
      <w:pPr>
        <w:keepNext/>
      </w:pPr>
      <w:r>
        <w:t>Fixed:</w:t>
      </w:r>
    </w:p>
    <w:p w:rsidR="00897AA5" w:rsidRPr="00EF12A7" w:rsidRDefault="00897AA5" w:rsidP="00DA47C0">
      <w:pPr>
        <w:pStyle w:val="Bulletpoint"/>
      </w:pPr>
      <w:r w:rsidRPr="00EF12A7">
        <w:t>landholding charge</w:t>
      </w:r>
      <w:r w:rsidR="00746CB6">
        <w:t xml:space="preserve"> (levied per landholding</w:t>
      </w:r>
      <w:r w:rsidR="00BF3323">
        <w:t>)</w:t>
      </w:r>
    </w:p>
    <w:p w:rsidR="00897AA5" w:rsidRPr="00EF12A7" w:rsidRDefault="00897AA5" w:rsidP="00DA47C0">
      <w:pPr>
        <w:pStyle w:val="Bulletpoint"/>
      </w:pPr>
      <w:r w:rsidRPr="00EF12A7">
        <w:t>outlet charge</w:t>
      </w:r>
      <w:r w:rsidR="00746CB6">
        <w:t xml:space="preserve"> (levied per outlet)</w:t>
      </w:r>
    </w:p>
    <w:p w:rsidR="00897AA5" w:rsidRPr="00EF12A7" w:rsidRDefault="00897AA5" w:rsidP="00DA47C0">
      <w:pPr>
        <w:pStyle w:val="Bulletpoint"/>
      </w:pPr>
      <w:r w:rsidRPr="00EF12A7">
        <w:t>facilities charge - tier 1, 2 and 3</w:t>
      </w:r>
      <w:r w:rsidR="00746CB6">
        <w:t xml:space="preserve"> (levied per ML of ‘delivery entitlement’ (water delivery right) held in relevant tier)</w:t>
      </w:r>
    </w:p>
    <w:p w:rsidR="00897AA5" w:rsidRPr="00EF12A7" w:rsidRDefault="00897AA5" w:rsidP="00DA47C0">
      <w:pPr>
        <w:pStyle w:val="Bulletpoint"/>
      </w:pPr>
      <w:r w:rsidRPr="00EF12A7">
        <w:lastRenderedPageBreak/>
        <w:t>government bulk water</w:t>
      </w:r>
      <w:r w:rsidR="00EF12A7" w:rsidRPr="003F1051">
        <w:t xml:space="preserve"> recovery charge</w:t>
      </w:r>
      <w:r w:rsidR="00025D28">
        <w:t xml:space="preserve"> - fixed</w:t>
      </w:r>
      <w:r w:rsidRPr="00EF12A7">
        <w:t xml:space="preserve"> </w:t>
      </w:r>
      <w:r w:rsidR="00746CB6">
        <w:t>(levied per ML of ‘water entitlement’ (irrigation right) held)</w:t>
      </w:r>
    </w:p>
    <w:p w:rsidR="00897AA5" w:rsidRPr="00EF12A7" w:rsidRDefault="00897AA5" w:rsidP="00897AA5">
      <w:r w:rsidRPr="00EF12A7">
        <w:t>Variable:</w:t>
      </w:r>
    </w:p>
    <w:p w:rsidR="00897AA5" w:rsidRDefault="0095495E" w:rsidP="00DA47C0">
      <w:pPr>
        <w:pStyle w:val="Bulletpoint"/>
      </w:pPr>
      <w:r>
        <w:t xml:space="preserve">usage charge - </w:t>
      </w:r>
      <w:r w:rsidR="00897AA5" w:rsidRPr="00EF12A7">
        <w:t>normal</w:t>
      </w:r>
      <w:r w:rsidR="00897AA5">
        <w:t xml:space="preserve"> us</w:t>
      </w:r>
      <w:r>
        <w:t>a</w:t>
      </w:r>
      <w:r w:rsidR="00897AA5">
        <w:t>ge</w:t>
      </w:r>
      <w:r w:rsidR="00746CB6">
        <w:t xml:space="preserve"> (levied per ML of water delivered)</w:t>
      </w:r>
    </w:p>
    <w:p w:rsidR="0095495E" w:rsidRDefault="0095495E" w:rsidP="00DA47C0">
      <w:pPr>
        <w:pStyle w:val="Bulletpoint"/>
      </w:pPr>
      <w:r>
        <w:t>government bulk water recovery charge</w:t>
      </w:r>
      <w:r w:rsidR="00025D28">
        <w:t xml:space="preserve"> - usage</w:t>
      </w:r>
      <w:r>
        <w:t xml:space="preserve"> </w:t>
      </w:r>
      <w:r w:rsidR="00746CB6">
        <w:t>(levied per ML of water delivered)</w:t>
      </w:r>
    </w:p>
    <w:p w:rsidR="00897AA5" w:rsidRDefault="00025D28" w:rsidP="00DA47C0">
      <w:pPr>
        <w:pStyle w:val="Bulletpoint"/>
      </w:pPr>
      <w:r>
        <w:t xml:space="preserve">IHS </w:t>
      </w:r>
      <w:r w:rsidR="0095495E">
        <w:t>energy charge</w:t>
      </w:r>
      <w:r>
        <w:t>s</w:t>
      </w:r>
      <w:r w:rsidR="0095495E">
        <w:t xml:space="preserve"> (IHS only)</w:t>
      </w:r>
      <w:r w:rsidR="00746CB6">
        <w:t xml:space="preserve"> (levied per ML of water delivered)</w:t>
      </w:r>
      <w:r w:rsidR="009C2B9C">
        <w:t>.</w:t>
      </w:r>
    </w:p>
    <w:p w:rsidR="009C2B9C" w:rsidRDefault="00897AA5" w:rsidP="00897AA5">
      <w:r>
        <w:t xml:space="preserve">In addition to these charges LAS high security, LAS general security and LAW general security customers </w:t>
      </w:r>
      <w:r w:rsidR="00282F67">
        <w:t xml:space="preserve">may </w:t>
      </w:r>
      <w:r>
        <w:t xml:space="preserve">pay the </w:t>
      </w:r>
      <w:r w:rsidR="0095495E">
        <w:t xml:space="preserve">(fixed) </w:t>
      </w:r>
      <w:r>
        <w:t>rice monitoring fee</w:t>
      </w:r>
      <w:r w:rsidR="00282F67">
        <w:t>, but this is not included in the hypothetical bills</w:t>
      </w:r>
      <w:r>
        <w:t xml:space="preserve">. </w:t>
      </w:r>
    </w:p>
    <w:p w:rsidR="00897AA5" w:rsidRDefault="00897AA5" w:rsidP="00897AA5">
      <w:r>
        <w:t>The facilities charge is levied in a tiered system with the following structure:</w:t>
      </w:r>
    </w:p>
    <w:p w:rsidR="00897AA5" w:rsidRDefault="00897AA5" w:rsidP="00DA47C0">
      <w:pPr>
        <w:pStyle w:val="Bulletpoint"/>
      </w:pPr>
      <w:r>
        <w:t>Tier 1: 0-50 ML</w:t>
      </w:r>
      <w:r w:rsidR="009C2B9C">
        <w:t xml:space="preserve"> of delivery entitlements</w:t>
      </w:r>
    </w:p>
    <w:p w:rsidR="00897AA5" w:rsidRDefault="00897AA5" w:rsidP="00DA47C0">
      <w:pPr>
        <w:pStyle w:val="Bulletpoint"/>
      </w:pPr>
      <w:r>
        <w:t>Tier 2: 51-250 ML</w:t>
      </w:r>
      <w:r w:rsidR="009C2B9C">
        <w:t xml:space="preserve"> of delivery entitlements</w:t>
      </w:r>
    </w:p>
    <w:p w:rsidR="00897AA5" w:rsidRDefault="00897AA5" w:rsidP="00DA47C0">
      <w:pPr>
        <w:pStyle w:val="Bulletpoint"/>
      </w:pPr>
      <w:r>
        <w:t>Tier 3: &gt; 250 ML</w:t>
      </w:r>
      <w:r w:rsidR="009C2B9C">
        <w:t xml:space="preserve"> of delivery entitlements.</w:t>
      </w:r>
    </w:p>
    <w:p w:rsidR="00897AA5" w:rsidRDefault="00897AA5" w:rsidP="00897AA5">
      <w:r>
        <w:t>For example, for an irrigator with 300 ML water delivery right, the irrigator would pay Tier 1 charges for the first 50 ML, Tier 2 charges for the next 200 ML and Tier 3 charges for the last 50 ML.</w:t>
      </w:r>
      <w:r w:rsidR="00394F21">
        <w:t xml:space="preserve"> Facilities charges decrease as an irrigator reaches higher tiers.</w:t>
      </w:r>
    </w:p>
    <w:p w:rsidR="00897AA5" w:rsidRDefault="00897AA5" w:rsidP="00897AA5">
      <w:r>
        <w:t xml:space="preserve">The government </w:t>
      </w:r>
      <w:r w:rsidR="00025D28">
        <w:t>bulk water recovery</w:t>
      </w:r>
      <w:r w:rsidR="001E144A" w:rsidDel="001E144A">
        <w:t xml:space="preserve"> </w:t>
      </w:r>
      <w:r w:rsidR="001E144A">
        <w:t>(</w:t>
      </w:r>
      <w:r w:rsidR="004456C1">
        <w:t>f</w:t>
      </w:r>
      <w:r w:rsidR="00025D28">
        <w:t>ixed</w:t>
      </w:r>
      <w:r w:rsidR="001E144A">
        <w:t>)</w:t>
      </w:r>
      <w:r>
        <w:t xml:space="preserve"> charge and the government </w:t>
      </w:r>
      <w:r w:rsidR="00025D28">
        <w:t>bulk water recovery charge</w:t>
      </w:r>
      <w:r w:rsidR="001E144A">
        <w:t xml:space="preserve"> (</w:t>
      </w:r>
      <w:r>
        <w:t>usage</w:t>
      </w:r>
      <w:r w:rsidR="001E144A">
        <w:t>)</w:t>
      </w:r>
      <w:r>
        <w:t xml:space="preserve"> recover both WaterNSW and DPI </w:t>
      </w:r>
      <w:r w:rsidR="00394F21">
        <w:t xml:space="preserve">Water </w:t>
      </w:r>
      <w:r>
        <w:t xml:space="preserve">fixed and usage charges imposed on MI and passed on to customers. </w:t>
      </w:r>
    </w:p>
    <w:p w:rsidR="00897AA5" w:rsidRPr="00074E8F" w:rsidRDefault="00897AA5" w:rsidP="00897AA5">
      <w:r w:rsidRPr="00074E8F">
        <w:t xml:space="preserve">The hypothetical bill analysis makes the following assumptions to separate the </w:t>
      </w:r>
      <w:r>
        <w:t>WaterNSW</w:t>
      </w:r>
      <w:r w:rsidRPr="00074E8F">
        <w:t xml:space="preserve"> and </w:t>
      </w:r>
      <w:r>
        <w:t>DPI</w:t>
      </w:r>
      <w:r w:rsidRPr="00074E8F">
        <w:t xml:space="preserve"> </w:t>
      </w:r>
      <w:r w:rsidR="00D23D6D">
        <w:t xml:space="preserve">Water </w:t>
      </w:r>
      <w:r w:rsidRPr="00074E8F">
        <w:t xml:space="preserve">charge components for the relevant </w:t>
      </w:r>
      <w:r w:rsidR="00394F21" w:rsidRPr="00074E8F">
        <w:t>M</w:t>
      </w:r>
      <w:r w:rsidR="00394F21">
        <w:t>I</w:t>
      </w:r>
      <w:r w:rsidR="00394F21" w:rsidRPr="00074E8F">
        <w:t xml:space="preserve"> </w:t>
      </w:r>
      <w:r w:rsidRPr="00074E8F">
        <w:t>government charges</w:t>
      </w:r>
      <w:r w:rsidR="00D23D6D">
        <w:t>:</w:t>
      </w:r>
      <w:r w:rsidR="00D23D6D" w:rsidRPr="00074E8F">
        <w:t xml:space="preserve"> </w:t>
      </w:r>
    </w:p>
    <w:p w:rsidR="00685E00" w:rsidRPr="003F1051" w:rsidRDefault="00897AA5" w:rsidP="00DA47C0">
      <w:pPr>
        <w:pStyle w:val="Bulletpoint"/>
      </w:pPr>
      <w:r w:rsidRPr="000C6BD6">
        <w:t xml:space="preserve">Government bulk </w:t>
      </w:r>
      <w:r w:rsidR="00EF12A7" w:rsidRPr="003F1051">
        <w:t>water recovery charge</w:t>
      </w:r>
      <w:r w:rsidR="00FA7766">
        <w:t xml:space="preserve"> - fixed</w:t>
      </w:r>
      <w:r w:rsidR="001E144A">
        <w:t>:</w:t>
      </w:r>
    </w:p>
    <w:p w:rsidR="00D85C54" w:rsidRPr="00260A71" w:rsidRDefault="00685E00" w:rsidP="00F90601">
      <w:pPr>
        <w:pStyle w:val="Bulletpoint2"/>
      </w:pPr>
      <w:r w:rsidRPr="00260A71">
        <w:t xml:space="preserve">For high security customers, </w:t>
      </w:r>
      <w:r w:rsidR="00974954" w:rsidRPr="00260A71">
        <w:t xml:space="preserve">the </w:t>
      </w:r>
      <w:r w:rsidR="006E3CAD">
        <w:t>‘</w:t>
      </w:r>
      <w:r w:rsidR="00974954" w:rsidRPr="00260A71">
        <w:t>Government bulk water recover</w:t>
      </w:r>
      <w:r w:rsidR="00394F21" w:rsidRPr="00260A71">
        <w:t>y</w:t>
      </w:r>
      <w:r w:rsidR="00974954" w:rsidRPr="00260A71">
        <w:t xml:space="preserve"> high security charge</w:t>
      </w:r>
      <w:r w:rsidR="006E3CAD">
        <w:t>’</w:t>
      </w:r>
      <w:r w:rsidR="00974954" w:rsidRPr="00260A71">
        <w:t xml:space="preserve"> </w:t>
      </w:r>
      <w:r w:rsidR="00D85C54" w:rsidRPr="00260A71">
        <w:t>(</w:t>
      </w:r>
      <w:r w:rsidRPr="00260A71">
        <w:t>$4.90/ML of irrigation right</w:t>
      </w:r>
      <w:r w:rsidR="00D85C54" w:rsidRPr="00260A71">
        <w:t>)</w:t>
      </w:r>
      <w:r w:rsidR="00974954" w:rsidRPr="00260A71">
        <w:t xml:space="preserve"> has </w:t>
      </w:r>
      <w:r w:rsidR="006E3CAD">
        <w:t xml:space="preserve">been </w:t>
      </w:r>
      <w:r w:rsidR="00974954" w:rsidRPr="00260A71">
        <w:t>separated into $3.66/ML for the fixed WaterNSW charge and $1.24 /ML of for the</w:t>
      </w:r>
      <w:r w:rsidR="00D85C54" w:rsidRPr="00260A71">
        <w:t xml:space="preserve"> DPI Water fixed charge.</w:t>
      </w:r>
      <w:r w:rsidR="00BF3323">
        <w:t xml:space="preserve"> </w:t>
      </w:r>
      <w:r w:rsidR="00D85C54" w:rsidRPr="00260A71">
        <w:t>Th</w:t>
      </w:r>
      <w:r w:rsidR="006E3CAD">
        <w:t>ese amounts</w:t>
      </w:r>
      <w:r w:rsidRPr="00260A71">
        <w:t xml:space="preserve"> </w:t>
      </w:r>
      <w:r w:rsidR="00D85C54" w:rsidRPr="00260A71">
        <w:t xml:space="preserve">approximate the actual regulated WaterNSW fixed charge for high security customers of $3.63/ML of irrigation right and actual regulated DPI Water charge for high security customers of $1.23/ML of irrigation right. </w:t>
      </w:r>
      <w:r w:rsidR="006E3CAD">
        <w:t>T</w:t>
      </w:r>
      <w:r w:rsidR="00D85C54" w:rsidRPr="00260A71">
        <w:t xml:space="preserve">hese figures have been </w:t>
      </w:r>
      <w:r w:rsidR="006E3CAD">
        <w:t>‘</w:t>
      </w:r>
      <w:r w:rsidR="00D85C54" w:rsidRPr="00260A71">
        <w:t>grossed up</w:t>
      </w:r>
      <w:r w:rsidR="006E3CAD">
        <w:t xml:space="preserve">’ so that in sum they total the amount listed on MI’s schedule of charges while maintaining relative proportion of the actual DPI Water to the WaterNSW fixed </w:t>
      </w:r>
      <w:r w:rsidR="006E3CAD" w:rsidRPr="00260A71">
        <w:t xml:space="preserve">charges </w:t>
      </w:r>
      <w:r w:rsidR="006E3CAD">
        <w:t xml:space="preserve">for the Murrumbidgee valley. </w:t>
      </w:r>
    </w:p>
    <w:p w:rsidR="00D85C54" w:rsidRPr="00260A71" w:rsidRDefault="00D85C54" w:rsidP="00F90601">
      <w:pPr>
        <w:pStyle w:val="Bulletpoint2"/>
      </w:pPr>
      <w:r w:rsidRPr="00260A71">
        <w:t>For general security customers, the Government bulk water recover</w:t>
      </w:r>
      <w:r w:rsidR="004456C1" w:rsidRPr="00260A71">
        <w:t>y</w:t>
      </w:r>
      <w:r w:rsidRPr="00260A71">
        <w:t xml:space="preserve"> </w:t>
      </w:r>
      <w:r w:rsidR="004456C1" w:rsidRPr="00260A71">
        <w:t>– fixed general</w:t>
      </w:r>
      <w:r w:rsidRPr="00260A71">
        <w:t xml:space="preserve"> security charge ($2.80/ML of irrigation right) has </w:t>
      </w:r>
      <w:r w:rsidR="00697412">
        <w:t xml:space="preserve">been </w:t>
      </w:r>
      <w:r w:rsidRPr="00260A71">
        <w:t>separated into $1.55/ML of irrigation right for the fixed WaterNSW charge and $1.25 /ML of irrigation right for the DPI Water fixed charge.</w:t>
      </w:r>
      <w:r w:rsidR="004F54F6">
        <w:t xml:space="preserve"> </w:t>
      </w:r>
      <w:r w:rsidRPr="00260A71">
        <w:t>Th</w:t>
      </w:r>
      <w:r w:rsidR="00697412">
        <w:t>ese amounts</w:t>
      </w:r>
      <w:r w:rsidRPr="00260A71">
        <w:t xml:space="preserve"> approximate</w:t>
      </w:r>
      <w:r w:rsidR="00697412">
        <w:t xml:space="preserve"> </w:t>
      </w:r>
      <w:r w:rsidRPr="00260A71">
        <w:t xml:space="preserve">the actual regulated WaterNSW fixed charge for high security customers of $1.53/ML of irrigation right and actual regulated DPI Water charge for high security customers of $1.23/ML of irrigation right. </w:t>
      </w:r>
      <w:r w:rsidR="00697412">
        <w:t>T</w:t>
      </w:r>
      <w:r w:rsidRPr="00260A71">
        <w:t xml:space="preserve">hese figures have been </w:t>
      </w:r>
      <w:r w:rsidR="00697412">
        <w:t>‘</w:t>
      </w:r>
      <w:r w:rsidRPr="00260A71">
        <w:t>grossed up</w:t>
      </w:r>
      <w:r w:rsidR="00697412">
        <w:t xml:space="preserve">’ so that in sum they total the amount listed on MI’s schedule of charges while maintaining relative proportion of the actual DPI Water to the WaterNSW variable </w:t>
      </w:r>
      <w:r w:rsidR="00697412" w:rsidRPr="00260A71">
        <w:t xml:space="preserve">charges </w:t>
      </w:r>
      <w:r w:rsidR="00697412">
        <w:t>for the Murrumbidgee valley.</w:t>
      </w:r>
      <w:r w:rsidRPr="00260A71">
        <w:t xml:space="preserve">  </w:t>
      </w:r>
    </w:p>
    <w:p w:rsidR="00685E00" w:rsidRPr="003F1051" w:rsidRDefault="00685E00" w:rsidP="00DA47C0">
      <w:pPr>
        <w:pStyle w:val="Bulletpoint"/>
      </w:pPr>
      <w:r w:rsidRPr="003F1051">
        <w:t>Government bulk water recovery charge</w:t>
      </w:r>
      <w:r w:rsidR="00FA7766">
        <w:t xml:space="preserve"> - usage</w:t>
      </w:r>
      <w:r w:rsidR="001E144A">
        <w:t>:</w:t>
      </w:r>
      <w:r w:rsidRPr="003F1051">
        <w:t xml:space="preserve"> </w:t>
      </w:r>
      <w:r w:rsidR="001E144A">
        <w:t>t</w:t>
      </w:r>
      <w:r w:rsidRPr="003F1051">
        <w:t xml:space="preserve">he </w:t>
      </w:r>
      <w:r w:rsidR="000721BD">
        <w:t xml:space="preserve">combined </w:t>
      </w:r>
      <w:r w:rsidRPr="003F1051">
        <w:t>charge</w:t>
      </w:r>
      <w:r w:rsidR="000721BD">
        <w:t xml:space="preserve"> on MI’s schedule</w:t>
      </w:r>
      <w:r w:rsidRPr="003F1051">
        <w:t>, $</w:t>
      </w:r>
      <w:r w:rsidR="000721BD">
        <w:t>6.40</w:t>
      </w:r>
      <w:r w:rsidR="000C6BD6" w:rsidRPr="003F1051">
        <w:t>/</w:t>
      </w:r>
      <w:r w:rsidRPr="003F1051">
        <w:t>ML of irrigation right</w:t>
      </w:r>
      <w:r w:rsidR="000721BD">
        <w:t>,</w:t>
      </w:r>
      <w:r w:rsidRPr="003F1051">
        <w:t xml:space="preserve"> </w:t>
      </w:r>
      <w:r w:rsidR="000721BD">
        <w:t>exceeds</w:t>
      </w:r>
      <w:r w:rsidRPr="003F1051">
        <w:t xml:space="preserve"> the sum of the regulated WaterNSW charge ($4.28</w:t>
      </w:r>
      <w:r w:rsidR="000C6BD6" w:rsidRPr="003F1051">
        <w:t>/</w:t>
      </w:r>
      <w:r w:rsidRPr="003F1051">
        <w:t xml:space="preserve">ML </w:t>
      </w:r>
      <w:r w:rsidR="000C6BD6" w:rsidRPr="003F1051">
        <w:t>of irrigation right) and DPI charge ($0.7</w:t>
      </w:r>
      <w:r w:rsidR="00D23D6D">
        <w:t>9</w:t>
      </w:r>
      <w:r w:rsidR="000C6BD6" w:rsidRPr="003F1051">
        <w:t xml:space="preserve">/ML of irrigation right). </w:t>
      </w:r>
      <w:r w:rsidRPr="003F1051">
        <w:t xml:space="preserve"> </w:t>
      </w:r>
      <w:r w:rsidR="00F91D04">
        <w:t xml:space="preserve">The remaining $1.33/ML may </w:t>
      </w:r>
      <w:r w:rsidR="000248A0">
        <w:t xml:space="preserve">represent </w:t>
      </w:r>
      <w:r w:rsidR="00697412">
        <w:t>recovery of charges levied in relation to</w:t>
      </w:r>
      <w:r w:rsidR="00F91D04">
        <w:t xml:space="preserve"> conveyance water. </w:t>
      </w:r>
      <w:r w:rsidR="000721BD">
        <w:t>The ACCC has split MI’s co</w:t>
      </w:r>
      <w:r w:rsidR="00F91D04">
        <w:t xml:space="preserve">nveyance water allowance </w:t>
      </w:r>
      <w:r w:rsidR="000721BD">
        <w:t>into WaterNSW and DPI</w:t>
      </w:r>
      <w:r w:rsidR="00B864A0">
        <w:t xml:space="preserve"> Water </w:t>
      </w:r>
      <w:r w:rsidR="000721BD">
        <w:t xml:space="preserve"> </w:t>
      </w:r>
      <w:r w:rsidR="000721BD">
        <w:lastRenderedPageBreak/>
        <w:t xml:space="preserve">components by grossing up the actual WaterNSW and DPI </w:t>
      </w:r>
      <w:r w:rsidR="00B864A0">
        <w:t xml:space="preserve">Water </w:t>
      </w:r>
      <w:r w:rsidR="000721BD">
        <w:t>charges in the same way as for fixed charges above.</w:t>
      </w:r>
      <w:r w:rsidR="000248A0">
        <w:t xml:space="preserve"> </w:t>
      </w:r>
    </w:p>
    <w:p w:rsidR="00564AB0" w:rsidRDefault="00564AB0" w:rsidP="00564AB0">
      <w:pPr>
        <w:pStyle w:val="Heading4"/>
        <w:keepNext/>
      </w:pPr>
      <w:r>
        <w:t>Hypothetical termination fee</w:t>
      </w:r>
    </w:p>
    <w:p w:rsidR="00897AA5" w:rsidRDefault="00897AA5" w:rsidP="00897AA5">
      <w:r>
        <w:t>The hypothetical termination fees are calculated assuming 250 ML of delivery entitlement is held, with either 50 or 100 per cent of this volume terminated.</w:t>
      </w:r>
    </w:p>
    <w:p w:rsidR="00897AA5" w:rsidRDefault="00897AA5" w:rsidP="00897AA5">
      <w:r>
        <w:t xml:space="preserve">The </w:t>
      </w:r>
      <w:r w:rsidR="000248A0">
        <w:t xml:space="preserve">ACCC’s hypothetical termination fees are based on the termination fees listed in Table 6 of MI’s schedule of charges </w:t>
      </w:r>
      <w:r>
        <w:t>(</w:t>
      </w:r>
      <w:r w:rsidR="000248A0">
        <w:t xml:space="preserve">but excluding </w:t>
      </w:r>
      <w:r>
        <w:t>GST</w:t>
      </w:r>
      <w:r w:rsidR="00F025A9">
        <w:t>)</w:t>
      </w:r>
      <w:r w:rsidR="000248A0">
        <w:t>. These termination fees include the following components:</w:t>
      </w:r>
    </w:p>
    <w:p w:rsidR="00897AA5" w:rsidRDefault="00897AA5" w:rsidP="00DA47C0">
      <w:pPr>
        <w:pStyle w:val="Bulletpoint"/>
      </w:pPr>
      <w:r>
        <w:t xml:space="preserve">facilities charge </w:t>
      </w:r>
      <w:r w:rsidR="003542EF">
        <w:t>(</w:t>
      </w:r>
      <w:r>
        <w:t>tiers outlined below</w:t>
      </w:r>
      <w:r w:rsidR="003542EF">
        <w:t>)</w:t>
      </w:r>
    </w:p>
    <w:p w:rsidR="00897AA5" w:rsidRDefault="00897AA5" w:rsidP="00DA47C0">
      <w:pPr>
        <w:pStyle w:val="Bulletpoint"/>
      </w:pPr>
      <w:r>
        <w:t>landholding charge</w:t>
      </w:r>
    </w:p>
    <w:p w:rsidR="008C0427" w:rsidRDefault="00897AA5" w:rsidP="00DA47C0">
      <w:pPr>
        <w:pStyle w:val="Bulletpoint"/>
      </w:pPr>
      <w:r>
        <w:t>outlet charge</w:t>
      </w:r>
      <w:r w:rsidR="004F54F6">
        <w:t>.</w:t>
      </w:r>
    </w:p>
    <w:p w:rsidR="00897AA5" w:rsidRDefault="00897AA5" w:rsidP="00081B94">
      <w:r>
        <w:t>In calculating which tier should apply to termination for the fixed facilities charge, MI sets out the following structure in its schedule of charges:</w:t>
      </w:r>
    </w:p>
    <w:p w:rsidR="00897AA5" w:rsidRDefault="00897AA5" w:rsidP="00DA47C0">
      <w:pPr>
        <w:pStyle w:val="Bulletpoint"/>
      </w:pPr>
      <w:r>
        <w:t>Tier 3 water delivery rights</w:t>
      </w:r>
      <w:r w:rsidR="0098357B">
        <w:t xml:space="preserve"> (greater than 250 ML)</w:t>
      </w:r>
      <w:r>
        <w:t>, if any, are terminated first</w:t>
      </w:r>
    </w:p>
    <w:p w:rsidR="00897AA5" w:rsidRDefault="00897AA5" w:rsidP="00DA47C0">
      <w:pPr>
        <w:pStyle w:val="Bulletpoint"/>
      </w:pPr>
      <w:r>
        <w:t>Tier 2 water delivery rights</w:t>
      </w:r>
      <w:r w:rsidR="0098357B">
        <w:t xml:space="preserve"> (51-250 ML)</w:t>
      </w:r>
      <w:r>
        <w:t>, if any</w:t>
      </w:r>
      <w:r w:rsidR="0098357B">
        <w:t xml:space="preserve"> </w:t>
      </w:r>
      <w:r>
        <w:t>are terminated next</w:t>
      </w:r>
    </w:p>
    <w:p w:rsidR="00897AA5" w:rsidRDefault="00897AA5" w:rsidP="00DA47C0">
      <w:pPr>
        <w:pStyle w:val="Bulletpoint"/>
      </w:pPr>
      <w:r>
        <w:t>Tier 1 water delivery rights</w:t>
      </w:r>
      <w:r w:rsidR="0098357B">
        <w:t xml:space="preserve"> (0-50 ML)</w:t>
      </w:r>
      <w:r>
        <w:t>, if any, are terminated last.</w:t>
      </w:r>
    </w:p>
    <w:p w:rsidR="00897AA5" w:rsidRDefault="00897AA5" w:rsidP="00897AA5">
      <w:r>
        <w:t>For example,</w:t>
      </w:r>
      <w:r w:rsidR="00697412">
        <w:t xml:space="preserve"> for</w:t>
      </w:r>
      <w:r>
        <w:t xml:space="preserve"> an irrigator who holds 300 ML of water delivery right and decides to terminate 50 per cent</w:t>
      </w:r>
      <w:r w:rsidR="009A0398">
        <w:t xml:space="preserve"> (150 ML)</w:t>
      </w:r>
      <w:r>
        <w:t xml:space="preserve">, their termination fee would include 50 ML at the Tier 3 facilities charge and the remaining 100 ML would be at the Tier 2 facilities charge. If the irrigator terminates 100 per of their water delivery right, their termination fee would include 50 ML at the Tier 3 facilities charge, 200 ML at the Tier 2 facilities charge and the last 50 ML at the Tier 1 facilities charge.  </w:t>
      </w:r>
    </w:p>
    <w:p w:rsidR="00B864A0" w:rsidRDefault="00B864A0" w:rsidP="00B864A0">
      <w:pPr>
        <w:pStyle w:val="Heading4"/>
        <w:keepNext/>
      </w:pPr>
      <w:r>
        <w:t>2015−16 Schedule of charges</w:t>
      </w:r>
    </w:p>
    <w:p w:rsidR="00B864A0" w:rsidRDefault="00B864A0" w:rsidP="00B864A0">
      <w:r>
        <w:t xml:space="preserve">The ACCC sourced MI’s schedule of charges from its website: </w:t>
      </w:r>
      <w:hyperlink r:id="rId83" w:history="1">
        <w:r w:rsidRPr="000E7166">
          <w:rPr>
            <w:rStyle w:val="Hyperlink"/>
          </w:rPr>
          <w:t>http://www.mirrigation.com.au/Customers/Schedule-of-Charges</w:t>
        </w:r>
      </w:hyperlink>
      <w:r>
        <w:t>.</w:t>
      </w:r>
    </w:p>
    <w:p w:rsidR="00897AA5" w:rsidRPr="00307790" w:rsidRDefault="003C515E" w:rsidP="00081B94">
      <w:r>
        <w:rPr>
          <w:noProof/>
          <w:lang w:eastAsia="en-AU"/>
        </w:rPr>
        <w:lastRenderedPageBreak/>
        <w:drawing>
          <wp:inline distT="0" distB="0" distL="0" distR="0" wp14:anchorId="546ED43A" wp14:editId="3AD08E29">
            <wp:extent cx="5477252" cy="7805319"/>
            <wp:effectExtent l="0" t="0" r="9525" b="5715"/>
            <wp:docPr id="19" name="Picture 1" descr="Schedule of Charges of Murrumbidgee Irrigation Limited used by the ACCC to prepare hypothetical bills for the 2015-16 water year." title="Murrumbidgee Irrigation Limited Schedule of Charges, 2015-16,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4"/>
                    <a:stretch>
                      <a:fillRect/>
                    </a:stretch>
                  </pic:blipFill>
                  <pic:spPr>
                    <a:xfrm>
                      <a:off x="0" y="0"/>
                      <a:ext cx="5477252" cy="7805319"/>
                    </a:xfrm>
                    <a:prstGeom prst="rect">
                      <a:avLst/>
                    </a:prstGeom>
                  </pic:spPr>
                </pic:pic>
              </a:graphicData>
            </a:graphic>
          </wp:inline>
        </w:drawing>
      </w:r>
    </w:p>
    <w:p w:rsidR="00897AA5" w:rsidRDefault="00897AA5" w:rsidP="00897AA5"/>
    <w:p w:rsidR="00897AA5" w:rsidRDefault="003C515E" w:rsidP="00897AA5">
      <w:r>
        <w:rPr>
          <w:noProof/>
          <w:lang w:eastAsia="en-AU"/>
        </w:rPr>
        <w:lastRenderedPageBreak/>
        <w:drawing>
          <wp:inline distT="0" distB="0" distL="0" distR="0" wp14:anchorId="6DEA939B" wp14:editId="5B2DA3E8">
            <wp:extent cx="5731510" cy="8036392"/>
            <wp:effectExtent l="0" t="0" r="2540" b="3175"/>
            <wp:docPr id="20" name="Picture 3" descr="Schedule of Charges of Murrumbidgee Irrigation Limited used by the ACCC to prepare hypothetical bills for the 2015-16 water year." title="Murrumbidgee Irrigation Limited Schedule of Charges, 2015-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5"/>
                    <a:stretch>
                      <a:fillRect/>
                    </a:stretch>
                  </pic:blipFill>
                  <pic:spPr>
                    <a:xfrm>
                      <a:off x="0" y="0"/>
                      <a:ext cx="5731510" cy="8036392"/>
                    </a:xfrm>
                    <a:prstGeom prst="rect">
                      <a:avLst/>
                    </a:prstGeom>
                  </pic:spPr>
                </pic:pic>
              </a:graphicData>
            </a:graphic>
          </wp:inline>
        </w:drawing>
      </w:r>
    </w:p>
    <w:p w:rsidR="00897AA5" w:rsidRPr="0018310B" w:rsidRDefault="003C515E" w:rsidP="00897AA5">
      <w:r>
        <w:rPr>
          <w:noProof/>
          <w:lang w:eastAsia="en-AU"/>
        </w:rPr>
        <w:lastRenderedPageBreak/>
        <w:drawing>
          <wp:inline distT="0" distB="0" distL="0" distR="0" wp14:anchorId="00F5EC34" wp14:editId="75733019">
            <wp:extent cx="5731510" cy="5173055"/>
            <wp:effectExtent l="0" t="0" r="2540" b="8890"/>
            <wp:docPr id="21" name="Picture 4" descr="Schedule of Charges of Murrumbidgee Irrigation Limited used by the ACCC to prepare hypothetical bills for the 2015-16 water year." title="Murrumbidgee Irrigation Limited Schedule of Charges, 2015-16,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6"/>
                    <a:stretch>
                      <a:fillRect/>
                    </a:stretch>
                  </pic:blipFill>
                  <pic:spPr>
                    <a:xfrm>
                      <a:off x="0" y="0"/>
                      <a:ext cx="5731510" cy="5173055"/>
                    </a:xfrm>
                    <a:prstGeom prst="rect">
                      <a:avLst/>
                    </a:prstGeom>
                  </pic:spPr>
                </pic:pic>
              </a:graphicData>
            </a:graphic>
          </wp:inline>
        </w:drawing>
      </w:r>
    </w:p>
    <w:p w:rsidR="003C515E" w:rsidRDefault="003C515E" w:rsidP="00736EBA">
      <w:bookmarkStart w:id="172" w:name="_Toc447900615"/>
      <w:bookmarkStart w:id="173" w:name="_Toc449693005"/>
      <w:r>
        <w:rPr>
          <w:noProof/>
          <w:lang w:eastAsia="en-AU"/>
        </w:rPr>
        <w:lastRenderedPageBreak/>
        <w:drawing>
          <wp:inline distT="0" distB="0" distL="0" distR="0" wp14:anchorId="5F092B8A" wp14:editId="7DD8271E">
            <wp:extent cx="5731510" cy="4714412"/>
            <wp:effectExtent l="0" t="0" r="2540" b="0"/>
            <wp:docPr id="6" name="Picture 5" descr="Schedule of Charges of Murrumbidgee Irrigation Limited used by the ACCC to prepare hypothetical bills for the 2015-16 water year." title="Murrumbidgee Irrigation Limited Schedule of Charges, 2015-16,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7"/>
                    <a:stretch>
                      <a:fillRect/>
                    </a:stretch>
                  </pic:blipFill>
                  <pic:spPr>
                    <a:xfrm>
                      <a:off x="0" y="0"/>
                      <a:ext cx="5731510" cy="4714412"/>
                    </a:xfrm>
                    <a:prstGeom prst="rect">
                      <a:avLst/>
                    </a:prstGeom>
                  </pic:spPr>
                </pic:pic>
              </a:graphicData>
            </a:graphic>
          </wp:inline>
        </w:drawing>
      </w:r>
    </w:p>
    <w:p w:rsidR="00897AA5" w:rsidRDefault="00897AA5" w:rsidP="00736EBA">
      <w:pPr>
        <w:pStyle w:val="Numbered111"/>
      </w:pPr>
      <w:bookmarkStart w:id="174" w:name="_Toc485303362"/>
      <w:r>
        <w:t>Hay Private Irrigation District (Hay), NSW Murrumbidgee</w:t>
      </w:r>
      <w:bookmarkEnd w:id="172"/>
      <w:bookmarkEnd w:id="173"/>
      <w:bookmarkEnd w:id="174"/>
    </w:p>
    <w:p w:rsidR="00897AA5" w:rsidRDefault="00897AA5" w:rsidP="00897AA5">
      <w:pPr>
        <w:pStyle w:val="Heading4"/>
        <w:keepNext/>
      </w:pPr>
      <w:bookmarkStart w:id="175" w:name="_Toc418071387"/>
      <w:r>
        <w:t>Off-river IO hypothetical bill</w:t>
      </w:r>
    </w:p>
    <w:bookmarkEnd w:id="175"/>
    <w:p w:rsidR="00897AA5" w:rsidRDefault="00897AA5" w:rsidP="00897AA5">
      <w:r>
        <w:t>The analysis assumes one irrigator in Hay’s network who:</w:t>
      </w:r>
    </w:p>
    <w:p w:rsidR="00897AA5" w:rsidRDefault="00897AA5" w:rsidP="00DA47C0">
      <w:pPr>
        <w:pStyle w:val="Bulletpoint"/>
      </w:pPr>
      <w:r>
        <w:t xml:space="preserve">holds a specific </w:t>
      </w:r>
      <w:r w:rsidR="00697412">
        <w:t xml:space="preserve">volume of </w:t>
      </w:r>
      <w:r w:rsidR="00AD0BEA">
        <w:t xml:space="preserve">general security </w:t>
      </w:r>
      <w:r w:rsidR="00697412">
        <w:t>irrigation right</w:t>
      </w:r>
      <w:r>
        <w:t xml:space="preserve"> (50 ML, 250 ML or 1000 ML)</w:t>
      </w:r>
    </w:p>
    <w:p w:rsidR="00897AA5" w:rsidRDefault="00897AA5" w:rsidP="00DA47C0">
      <w:pPr>
        <w:pStyle w:val="Bulletpoint"/>
      </w:pPr>
      <w:r>
        <w:t>holds an equivalent amount of water delivery right (50 ML, 250 ML or 1000 ML, respectively)</w:t>
      </w:r>
      <w:r>
        <w:rPr>
          <w:rStyle w:val="FootnoteReference"/>
        </w:rPr>
        <w:footnoteReference w:id="60"/>
      </w:r>
      <w:r>
        <w:t xml:space="preserve"> </w:t>
      </w:r>
    </w:p>
    <w:p w:rsidR="00897AA5" w:rsidRDefault="00897AA5" w:rsidP="00DA47C0">
      <w:pPr>
        <w:pStyle w:val="Bulletpoint"/>
      </w:pPr>
      <w:r>
        <w:t>has a property over 4 ha and incurs an administration fee for that property size and</w:t>
      </w:r>
    </w:p>
    <w:p w:rsidR="00897AA5" w:rsidRDefault="00897AA5" w:rsidP="00DA47C0">
      <w:pPr>
        <w:pStyle w:val="Bulletpoint"/>
      </w:pPr>
      <w:r>
        <w:t>has one 12 ML outlet connected to its farm.</w:t>
      </w:r>
    </w:p>
    <w:p w:rsidR="00897AA5" w:rsidRDefault="00897AA5" w:rsidP="00897AA5">
      <w:r>
        <w:t xml:space="preserve">The </w:t>
      </w:r>
      <w:r w:rsidR="001C3657">
        <w:t>2015−16</w:t>
      </w:r>
      <w:r>
        <w:t xml:space="preserve"> hypothetical bill analysis includes the following charges listed on Hay’s schedule of charges. </w:t>
      </w:r>
    </w:p>
    <w:p w:rsidR="00897AA5" w:rsidRDefault="00897AA5" w:rsidP="00897AA5">
      <w:r>
        <w:t>Fixed:</w:t>
      </w:r>
    </w:p>
    <w:p w:rsidR="00897AA5" w:rsidRPr="00433158" w:rsidRDefault="00897AA5" w:rsidP="00DA47C0">
      <w:pPr>
        <w:pStyle w:val="Bulletpoint"/>
      </w:pPr>
      <w:r w:rsidRPr="00433158">
        <w:t xml:space="preserve">access fee </w:t>
      </w:r>
      <w:r w:rsidR="00AD0BEA">
        <w:t>–</w:t>
      </w:r>
      <w:r w:rsidR="005A71A3" w:rsidRPr="00433158">
        <w:t xml:space="preserve"> </w:t>
      </w:r>
      <w:r w:rsidRPr="00433158">
        <w:t>general</w:t>
      </w:r>
      <w:r w:rsidR="00AD0BEA">
        <w:t xml:space="preserve"> (levied per ML of ‘water delivery entitlement’ (water delivery right) held)</w:t>
      </w:r>
    </w:p>
    <w:p w:rsidR="00897AA5" w:rsidRPr="00433158" w:rsidRDefault="00897AA5" w:rsidP="00DA47C0">
      <w:pPr>
        <w:pStyle w:val="Bulletpoint"/>
      </w:pPr>
      <w:r w:rsidRPr="00433158">
        <w:t>bulk water charges</w:t>
      </w:r>
      <w:r w:rsidR="004E265E" w:rsidRPr="00433158">
        <w:t xml:space="preserve"> – State Water (WaterNSW)</w:t>
      </w:r>
      <w:r w:rsidR="00AD0BEA">
        <w:t xml:space="preserve"> (levied per ML of ‘water delivery entitlement’ (water delivery right) held)</w:t>
      </w:r>
    </w:p>
    <w:p w:rsidR="004E265E" w:rsidRPr="00433158" w:rsidRDefault="004E265E" w:rsidP="00DA47C0">
      <w:pPr>
        <w:pStyle w:val="Bulletpoint"/>
      </w:pPr>
      <w:r w:rsidRPr="00433158">
        <w:lastRenderedPageBreak/>
        <w:t>bulk water charges – Office of Water (DPI Water)</w:t>
      </w:r>
      <w:r w:rsidR="00AD0BEA">
        <w:t xml:space="preserve"> (levied per ML of ‘water delivery entitlement’ (water delivery right) held)</w:t>
      </w:r>
    </w:p>
    <w:p w:rsidR="00897AA5" w:rsidRPr="00433158" w:rsidRDefault="00897AA5" w:rsidP="00DA47C0">
      <w:pPr>
        <w:pStyle w:val="Bulletpoint"/>
      </w:pPr>
      <w:r w:rsidRPr="00433158">
        <w:t>asset levy – general</w:t>
      </w:r>
      <w:r w:rsidR="00AD0BEA">
        <w:t xml:space="preserve"> (levied per ML of ‘water delivery entitlement’ (water delivery right) held)</w:t>
      </w:r>
    </w:p>
    <w:p w:rsidR="00897AA5" w:rsidRPr="00433158" w:rsidRDefault="00897AA5" w:rsidP="00DA47C0">
      <w:pPr>
        <w:pStyle w:val="Bulletpoint"/>
      </w:pPr>
      <w:r w:rsidRPr="00433158">
        <w:t>outlet charge – 12 ML outlet</w:t>
      </w:r>
      <w:r w:rsidR="00AD0BEA">
        <w:t xml:space="preserve"> (levied per outlet)</w:t>
      </w:r>
    </w:p>
    <w:p w:rsidR="00897AA5" w:rsidRPr="00433158" w:rsidRDefault="00897AA5" w:rsidP="00DA47C0">
      <w:pPr>
        <w:pStyle w:val="Bulletpoint"/>
      </w:pPr>
      <w:r w:rsidRPr="00433158">
        <w:t>administration charge (&gt;4 ha)</w:t>
      </w:r>
      <w:r w:rsidR="00AD0BEA">
        <w:t xml:space="preserve"> (levied per property)</w:t>
      </w:r>
    </w:p>
    <w:p w:rsidR="00897AA5" w:rsidRPr="00433158" w:rsidRDefault="00897AA5" w:rsidP="00DA47C0">
      <w:pPr>
        <w:pStyle w:val="Bulletpoint"/>
      </w:pPr>
      <w:r w:rsidRPr="00433158">
        <w:t>resource management charge</w:t>
      </w:r>
      <w:r w:rsidR="00EF7C68" w:rsidRPr="00433158">
        <w:t xml:space="preserve"> (General)</w:t>
      </w:r>
      <w:r w:rsidR="00AD0BEA">
        <w:t xml:space="preserve"> (levied per ML of ‘water entitlement’ (irrigation right) held)</w:t>
      </w:r>
    </w:p>
    <w:p w:rsidR="00897AA5" w:rsidRDefault="00897AA5" w:rsidP="00897AA5">
      <w:r>
        <w:t>Variable:</w:t>
      </w:r>
    </w:p>
    <w:p w:rsidR="00897AA5" w:rsidRPr="00433158" w:rsidRDefault="00897AA5" w:rsidP="00DA47C0">
      <w:pPr>
        <w:pStyle w:val="Bulletpoint"/>
      </w:pPr>
      <w:r w:rsidRPr="00433158">
        <w:t xml:space="preserve">delivery charge – channel system </w:t>
      </w:r>
      <w:r w:rsidR="007D426A" w:rsidRPr="00433158">
        <w:t>(G</w:t>
      </w:r>
      <w:r w:rsidRPr="00433158">
        <w:t>eneral</w:t>
      </w:r>
      <w:r w:rsidR="007D426A" w:rsidRPr="00433158">
        <w:t>)</w:t>
      </w:r>
      <w:r w:rsidR="00AD0BEA">
        <w:t xml:space="preserve"> (levied per ML of water delivered)</w:t>
      </w:r>
      <w:r w:rsidR="00B864A0">
        <w:t>.</w:t>
      </w:r>
    </w:p>
    <w:p w:rsidR="001F3637" w:rsidRDefault="00DF4CCD" w:rsidP="00081B94">
      <w:r>
        <w:t xml:space="preserve">The hypothetical bill analysis makes the following assumptions </w:t>
      </w:r>
      <w:r w:rsidR="001F3637">
        <w:t>regard</w:t>
      </w:r>
      <w:r>
        <w:t>ing</w:t>
      </w:r>
      <w:r w:rsidR="001F3637">
        <w:t xml:space="preserve"> WaterNSW and DPI charges:</w:t>
      </w:r>
    </w:p>
    <w:p w:rsidR="00DF4CCD" w:rsidRDefault="001F3637" w:rsidP="00DA47C0">
      <w:pPr>
        <w:pStyle w:val="Bulletpoint"/>
      </w:pPr>
      <w:r>
        <w:t xml:space="preserve">Fixed charges – </w:t>
      </w:r>
      <w:r w:rsidR="0051686D">
        <w:t>t</w:t>
      </w:r>
      <w:r>
        <w:t xml:space="preserve">he WaterNSW </w:t>
      </w:r>
      <w:r w:rsidR="00DF4CCD">
        <w:t xml:space="preserve">and DPI </w:t>
      </w:r>
      <w:r w:rsidR="00767391">
        <w:t xml:space="preserve">Water </w:t>
      </w:r>
      <w:r w:rsidR="00DF4CCD">
        <w:t xml:space="preserve">fixed charges </w:t>
      </w:r>
      <w:r w:rsidR="007D05C8">
        <w:t xml:space="preserve">used </w:t>
      </w:r>
      <w:r w:rsidR="00DF4CCD">
        <w:t xml:space="preserve">are those listed on Hay PID’s schedule of charges under ‘Bulk Water Charges – State Water’ and ‘Bulk Water Charges – Office of Water’ respectively. </w:t>
      </w:r>
      <w:r w:rsidR="004D2B13">
        <w:t xml:space="preserve"> These charges are the same as the relevant regulated WaterNSW and DPI Water Charges for the NSW </w:t>
      </w:r>
      <w:r w:rsidR="0051686D">
        <w:t xml:space="preserve">Murrumbidgee </w:t>
      </w:r>
      <w:r w:rsidR="004D2B13">
        <w:t>valley.</w:t>
      </w:r>
    </w:p>
    <w:p w:rsidR="00897AA5" w:rsidRDefault="00897AA5" w:rsidP="00DA47C0">
      <w:pPr>
        <w:pStyle w:val="Bulletpoint"/>
      </w:pPr>
      <w:r>
        <w:t xml:space="preserve">Delivery charge </w:t>
      </w:r>
      <w:r w:rsidR="0051686D">
        <w:t>–</w:t>
      </w:r>
      <w:r>
        <w:t xml:space="preserve"> </w:t>
      </w:r>
      <w:r w:rsidR="0051686D">
        <w:t>t</w:t>
      </w:r>
      <w:r w:rsidR="00EB6AEA">
        <w:t xml:space="preserve">he </w:t>
      </w:r>
      <w:r>
        <w:t xml:space="preserve">actual WaterNSW </w:t>
      </w:r>
      <w:r w:rsidR="007D05C8">
        <w:t xml:space="preserve">($4.28/ML) </w:t>
      </w:r>
      <w:r>
        <w:t xml:space="preserve">and DPI usage charges </w:t>
      </w:r>
      <w:r w:rsidR="007D05C8">
        <w:t xml:space="preserve">($0.79/ML) </w:t>
      </w:r>
      <w:r w:rsidR="004D2B13">
        <w:t xml:space="preserve">for the Murrumbidgee valley </w:t>
      </w:r>
      <w:r w:rsidR="00E56999">
        <w:t>are</w:t>
      </w:r>
      <w:r>
        <w:t xml:space="preserve"> fully passed through to Hay customers through the delivery charge. The difference between the sum of the</w:t>
      </w:r>
      <w:r w:rsidR="004D2B13">
        <w:t>se</w:t>
      </w:r>
      <w:r>
        <w:t xml:space="preserve"> WaterNSW and DPI </w:t>
      </w:r>
      <w:r w:rsidR="00EB6AEA">
        <w:t xml:space="preserve">Water </w:t>
      </w:r>
      <w:r>
        <w:t xml:space="preserve">fixed charges </w:t>
      </w:r>
      <w:r w:rsidR="004D2B13">
        <w:t xml:space="preserve">($5.07) </w:t>
      </w:r>
      <w:r>
        <w:t xml:space="preserve">and the delivery charge – channel system general </w:t>
      </w:r>
      <w:r w:rsidR="007D05C8">
        <w:t xml:space="preserve">($11.73 per ML of delivery entitlement) </w:t>
      </w:r>
      <w:r>
        <w:t xml:space="preserve">is </w:t>
      </w:r>
      <w:r w:rsidR="0051686D">
        <w:t xml:space="preserve">assumed </w:t>
      </w:r>
      <w:r>
        <w:t xml:space="preserve">to </w:t>
      </w:r>
      <w:r w:rsidR="0051686D">
        <w:t xml:space="preserve">be </w:t>
      </w:r>
      <w:r>
        <w:t>Hay’s variable off</w:t>
      </w:r>
      <w:r w:rsidR="0051686D">
        <w:noBreakHyphen/>
      </w:r>
      <w:r>
        <w:t xml:space="preserve">river infrastructure charge. </w:t>
      </w:r>
    </w:p>
    <w:p w:rsidR="00897AA5" w:rsidRDefault="00897AA5" w:rsidP="00897AA5">
      <w:pPr>
        <w:pStyle w:val="Heading4"/>
        <w:keepNext/>
      </w:pPr>
      <w:bookmarkStart w:id="176" w:name="_Toc418071388"/>
      <w:r>
        <w:t>Hypothetical termination fee</w:t>
      </w:r>
      <w:bookmarkEnd w:id="176"/>
    </w:p>
    <w:p w:rsidR="00897AA5" w:rsidRDefault="00897AA5" w:rsidP="00897AA5">
      <w:r>
        <w:t xml:space="preserve">The hypothetical termination fee is calculated assuming 250 ML of water delivery right is held, with either 50 or 100 per cent of this volume terminated. </w:t>
      </w:r>
    </w:p>
    <w:p w:rsidR="00897AA5" w:rsidRDefault="00897AA5" w:rsidP="00897AA5">
      <w:r>
        <w:t xml:space="preserve">The following (GST exclusive) off-river infrastructure charges are included in the calculation of the hypothetical termination fee: </w:t>
      </w:r>
    </w:p>
    <w:p w:rsidR="00897AA5" w:rsidRDefault="00897AA5" w:rsidP="00DA47C0">
      <w:pPr>
        <w:pStyle w:val="Bulletpoint"/>
      </w:pPr>
      <w:r>
        <w:t>access fee general</w:t>
      </w:r>
    </w:p>
    <w:p w:rsidR="00897AA5" w:rsidRDefault="00897AA5" w:rsidP="00DA47C0">
      <w:pPr>
        <w:pStyle w:val="Bulletpoint"/>
      </w:pPr>
      <w:r>
        <w:t>asset levy</w:t>
      </w:r>
    </w:p>
    <w:p w:rsidR="00897AA5" w:rsidRDefault="00897AA5" w:rsidP="00DA47C0">
      <w:pPr>
        <w:pStyle w:val="Bulletpoint"/>
      </w:pPr>
      <w:r>
        <w:t>administration charge (&gt;4 ha) (for the 100 per cent termination scenario only) and</w:t>
      </w:r>
    </w:p>
    <w:p w:rsidR="00897AA5" w:rsidRDefault="00897AA5" w:rsidP="00DA47C0">
      <w:pPr>
        <w:pStyle w:val="Bulletpoint"/>
      </w:pPr>
      <w:r>
        <w:t>outlet charge – 12 ML outlet (for the 100 per cent termination scenario only).</w:t>
      </w:r>
    </w:p>
    <w:p w:rsidR="00CD7F03" w:rsidRDefault="00CD7F03" w:rsidP="00897AA5">
      <w:r>
        <w:t xml:space="preserve">The dollar amount of each of </w:t>
      </w:r>
      <w:r w:rsidRPr="00242C5B">
        <w:rPr>
          <w:rFonts w:cs="Times New Roman"/>
        </w:rPr>
        <w:t xml:space="preserve">these fixed charges (as applicable) is multiplied by ten and then added together as part of the calculation of the hypothetical </w:t>
      </w:r>
      <w:r w:rsidR="00A96B40">
        <w:rPr>
          <w:rFonts w:cs="Times New Roman"/>
        </w:rPr>
        <w:t>termination fee.</w:t>
      </w:r>
      <w:r w:rsidR="00A96B40" w:rsidDel="00CD7F03">
        <w:t xml:space="preserve"> </w:t>
      </w:r>
    </w:p>
    <w:p w:rsidR="00897AA5" w:rsidRDefault="00897AA5" w:rsidP="00897AA5">
      <w:r>
        <w:t>The administration and outlet charges are only included in the calculation of the hypothetical termination fee when the irrigator terminates 100 per cent of their water delivery right. This is because the irrigator is assumed to be disconnecting from the network.</w:t>
      </w:r>
    </w:p>
    <w:p w:rsidR="00897AA5" w:rsidRDefault="001C3657" w:rsidP="00897AA5">
      <w:pPr>
        <w:pStyle w:val="Heading4"/>
        <w:keepNext/>
      </w:pPr>
      <w:r>
        <w:t>2015−16</w:t>
      </w:r>
      <w:r w:rsidR="00897AA5">
        <w:t xml:space="preserve"> Schedule of charges</w:t>
      </w:r>
    </w:p>
    <w:p w:rsidR="00897AA5" w:rsidRDefault="00897AA5" w:rsidP="00897AA5">
      <w:r>
        <w:t xml:space="preserve">The ACCC sourced Hay’s schedule of charges from its </w:t>
      </w:r>
      <w:r w:rsidR="0051686D">
        <w:t>website:</w:t>
      </w:r>
      <w:r>
        <w:t xml:space="preserve"> </w:t>
      </w:r>
      <w:hyperlink r:id="rId88" w:history="1">
        <w:r w:rsidRPr="000E7166">
          <w:rPr>
            <w:rStyle w:val="Hyperlink"/>
          </w:rPr>
          <w:t>http://www.haypid.com.au/fees_and_charges.html</w:t>
        </w:r>
      </w:hyperlink>
      <w:r>
        <w:t xml:space="preserve"> </w:t>
      </w:r>
    </w:p>
    <w:p w:rsidR="00897AA5" w:rsidRDefault="005163A6" w:rsidP="00897AA5">
      <w:r>
        <w:rPr>
          <w:noProof/>
          <w:lang w:eastAsia="en-AU"/>
        </w:rPr>
        <w:lastRenderedPageBreak/>
        <w:drawing>
          <wp:inline distT="0" distB="0" distL="0" distR="0" wp14:anchorId="6861AFDE" wp14:editId="06A4CF2A">
            <wp:extent cx="5331124" cy="7884544"/>
            <wp:effectExtent l="0" t="0" r="3175" b="2540"/>
            <wp:docPr id="15" name="Picture 2" descr="Schedule of Charges of Hay Private Irrigation District used by the ACCC to prepare hypothetical bills for the 2015-16 water year." title="Hay Private Irrigation District Schedule of Charges, 2015-16,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9"/>
                    <a:stretch>
                      <a:fillRect/>
                    </a:stretch>
                  </pic:blipFill>
                  <pic:spPr>
                    <a:xfrm>
                      <a:off x="0" y="0"/>
                      <a:ext cx="5331460" cy="7885040"/>
                    </a:xfrm>
                    <a:prstGeom prst="rect">
                      <a:avLst/>
                    </a:prstGeom>
                  </pic:spPr>
                </pic:pic>
              </a:graphicData>
            </a:graphic>
          </wp:inline>
        </w:drawing>
      </w:r>
    </w:p>
    <w:p w:rsidR="005163A6" w:rsidRDefault="005163A6" w:rsidP="00736EBA">
      <w:bookmarkStart w:id="177" w:name="_Toc418071389"/>
      <w:bookmarkStart w:id="178" w:name="_Toc418495371"/>
      <w:bookmarkStart w:id="179" w:name="_Toc447900616"/>
      <w:bookmarkStart w:id="180" w:name="_Toc449693006"/>
      <w:r>
        <w:rPr>
          <w:noProof/>
          <w:lang w:eastAsia="en-AU"/>
        </w:rPr>
        <w:lastRenderedPageBreak/>
        <w:drawing>
          <wp:inline distT="0" distB="0" distL="0" distR="0" wp14:anchorId="7BAC26DE" wp14:editId="165BFDB9">
            <wp:extent cx="5732398" cy="8220974"/>
            <wp:effectExtent l="0" t="0" r="1905" b="8890"/>
            <wp:docPr id="16" name="Picture 1" descr="Schedule of Charges of Hay Private Irrigation District used by the ACCC to prepare hypothetical bills for the 2015-16 water year." title="Hay Private Irrigation District Schedule of Charges, 2015-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0"/>
                    <a:stretch>
                      <a:fillRect/>
                    </a:stretch>
                  </pic:blipFill>
                  <pic:spPr>
                    <a:xfrm>
                      <a:off x="0" y="0"/>
                      <a:ext cx="5731510" cy="8219701"/>
                    </a:xfrm>
                    <a:prstGeom prst="rect">
                      <a:avLst/>
                    </a:prstGeom>
                  </pic:spPr>
                </pic:pic>
              </a:graphicData>
            </a:graphic>
          </wp:inline>
        </w:drawing>
      </w:r>
    </w:p>
    <w:p w:rsidR="005163A6" w:rsidRPr="005163A6" w:rsidRDefault="005163A6" w:rsidP="005163A6">
      <w:r>
        <w:rPr>
          <w:noProof/>
          <w:lang w:eastAsia="en-AU"/>
        </w:rPr>
        <w:lastRenderedPageBreak/>
        <w:drawing>
          <wp:inline distT="0" distB="0" distL="0" distR="0" wp14:anchorId="62216B69" wp14:editId="372286BE">
            <wp:extent cx="5731510" cy="8087139"/>
            <wp:effectExtent l="0" t="0" r="2540" b="9525"/>
            <wp:docPr id="17" name="Picture 3" descr="Schedule of Charges of Hay Private Irrigation District used by the ACCC to prepare hypothetical bills for the 2015-16 water year." title="Hay Private Irrigation District Schedule of Charges, 2015-16,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1"/>
                    <a:stretch>
                      <a:fillRect/>
                    </a:stretch>
                  </pic:blipFill>
                  <pic:spPr>
                    <a:xfrm>
                      <a:off x="0" y="0"/>
                      <a:ext cx="5731510" cy="8087139"/>
                    </a:xfrm>
                    <a:prstGeom prst="rect">
                      <a:avLst/>
                    </a:prstGeom>
                  </pic:spPr>
                </pic:pic>
              </a:graphicData>
            </a:graphic>
          </wp:inline>
        </w:drawing>
      </w:r>
    </w:p>
    <w:p w:rsidR="00897AA5" w:rsidRDefault="00897AA5" w:rsidP="00736EBA">
      <w:pPr>
        <w:pStyle w:val="Numbered111"/>
      </w:pPr>
      <w:bookmarkStart w:id="181" w:name="_Toc485303363"/>
      <w:r>
        <w:lastRenderedPageBreak/>
        <w:t>Jemalong Irrigation Limited (Jemalong), NSW Lachlan</w:t>
      </w:r>
      <w:bookmarkEnd w:id="177"/>
      <w:bookmarkEnd w:id="178"/>
      <w:bookmarkEnd w:id="179"/>
      <w:bookmarkEnd w:id="180"/>
      <w:bookmarkEnd w:id="181"/>
    </w:p>
    <w:p w:rsidR="00897AA5" w:rsidRDefault="00897AA5" w:rsidP="00897AA5">
      <w:pPr>
        <w:pStyle w:val="Heading4"/>
        <w:keepNext/>
      </w:pPr>
      <w:bookmarkStart w:id="182" w:name="_Toc418071390"/>
      <w:r>
        <w:t>Off-river IO hypothetical bill</w:t>
      </w:r>
    </w:p>
    <w:bookmarkEnd w:id="182"/>
    <w:p w:rsidR="00897AA5" w:rsidRDefault="00897AA5" w:rsidP="00897AA5">
      <w:r>
        <w:t>The analysis assumes one irrigator in Jemalong’s network who:</w:t>
      </w:r>
    </w:p>
    <w:p w:rsidR="00897AA5" w:rsidRDefault="00897AA5" w:rsidP="00DA47C0">
      <w:pPr>
        <w:pStyle w:val="Bulletpoint"/>
      </w:pPr>
      <w:r>
        <w:t xml:space="preserve">holds a specific volume of general security irrigation right (50 ML, 250 ML or 1000 ML) and </w:t>
      </w:r>
    </w:p>
    <w:p w:rsidR="00897AA5" w:rsidRDefault="00897AA5" w:rsidP="00DA47C0">
      <w:pPr>
        <w:pStyle w:val="Bulletpoint"/>
      </w:pPr>
      <w:r>
        <w:t>holds an equivalent amount of general security delivery entitlement (50 ML, 250 ML, or 1000 ML, respectively).</w:t>
      </w:r>
    </w:p>
    <w:p w:rsidR="00897AA5" w:rsidRDefault="00897AA5" w:rsidP="00897AA5">
      <w:r>
        <w:t xml:space="preserve">The </w:t>
      </w:r>
      <w:r w:rsidR="001C3657">
        <w:t>2015−16</w:t>
      </w:r>
      <w:r w:rsidR="00EE7898">
        <w:t xml:space="preserve"> </w:t>
      </w:r>
      <w:r>
        <w:t xml:space="preserve">hypothetical bill analysis includes the following charges listed on Jemalong’s schedule of charges. </w:t>
      </w:r>
    </w:p>
    <w:p w:rsidR="00897AA5" w:rsidRDefault="00897AA5" w:rsidP="00897AA5">
      <w:r>
        <w:t>Fixed:</w:t>
      </w:r>
    </w:p>
    <w:p w:rsidR="00897AA5" w:rsidRDefault="00897AA5" w:rsidP="00DA47C0">
      <w:pPr>
        <w:pStyle w:val="Bulletpoint"/>
      </w:pPr>
      <w:r>
        <w:t>fixed access charge</w:t>
      </w:r>
      <w:r w:rsidR="0051686D">
        <w:t xml:space="preserve"> (levied per ML of ‘delivery entitlement’ (water delivery right) held)</w:t>
      </w:r>
    </w:p>
    <w:p w:rsidR="00897AA5" w:rsidRDefault="00897AA5" w:rsidP="00DA47C0">
      <w:pPr>
        <w:pStyle w:val="Bulletpoint"/>
      </w:pPr>
      <w:r>
        <w:t>government fixed charge</w:t>
      </w:r>
      <w:r w:rsidR="0051686D">
        <w:t xml:space="preserve"> (levied per ML of ‘water entitlement’ (irrigation right) held)</w:t>
      </w:r>
    </w:p>
    <w:p w:rsidR="00897AA5" w:rsidRDefault="00897AA5" w:rsidP="00DA47C0">
      <w:pPr>
        <w:pStyle w:val="Bulletpoint"/>
      </w:pPr>
      <w:r>
        <w:t>conveyance fixed charge</w:t>
      </w:r>
      <w:r w:rsidR="0051686D">
        <w:t xml:space="preserve"> (levied per ML of ‘delivery entitlement’ (water delivery right) held)</w:t>
      </w:r>
    </w:p>
    <w:p w:rsidR="00897AA5" w:rsidRDefault="00897AA5" w:rsidP="00897AA5">
      <w:r>
        <w:t>Variable:</w:t>
      </w:r>
    </w:p>
    <w:p w:rsidR="00897AA5" w:rsidRDefault="00202512" w:rsidP="00DA47C0">
      <w:pPr>
        <w:pStyle w:val="Bulletpoint"/>
      </w:pPr>
      <w:r>
        <w:t>u</w:t>
      </w:r>
      <w:r w:rsidR="00897AA5">
        <w:t>sage charge</w:t>
      </w:r>
      <w:r w:rsidR="0051686D">
        <w:t xml:space="preserve"> (levied per ML of water delivered)</w:t>
      </w:r>
    </w:p>
    <w:p w:rsidR="00897AA5" w:rsidRDefault="00897AA5" w:rsidP="00DA47C0">
      <w:pPr>
        <w:pStyle w:val="Bulletpoint"/>
      </w:pPr>
      <w:r>
        <w:t>government usage charge</w:t>
      </w:r>
      <w:r w:rsidR="0051686D">
        <w:t xml:space="preserve"> (levied per ML of water delivered)</w:t>
      </w:r>
      <w:r w:rsidR="00A96B40">
        <w:t>.</w:t>
      </w:r>
    </w:p>
    <w:p w:rsidR="00897AA5" w:rsidRDefault="00897AA5" w:rsidP="00897AA5">
      <w:r>
        <w:t xml:space="preserve">Jemalong’s listed government </w:t>
      </w:r>
      <w:r w:rsidR="00D07278">
        <w:t>charges (fixed, conveyance and usage)</w:t>
      </w:r>
      <w:r>
        <w:t xml:space="preserve"> recover both WaterNSW and DPI </w:t>
      </w:r>
      <w:r w:rsidR="00EB6AEA">
        <w:t xml:space="preserve">Water </w:t>
      </w:r>
      <w:r>
        <w:t xml:space="preserve">fixed and variable charges imposed on Jemalong and passed through to its customers. The hypothetical bill analysis makes the following assumptions to separate WaterNSW and DPI </w:t>
      </w:r>
      <w:r w:rsidR="008F6C32">
        <w:t xml:space="preserve">Water </w:t>
      </w:r>
      <w:r>
        <w:t>fixed and variable charge components</w:t>
      </w:r>
      <w:r w:rsidR="0051686D">
        <w:t>:</w:t>
      </w:r>
    </w:p>
    <w:p w:rsidR="00897AA5" w:rsidRPr="00EF12A7" w:rsidRDefault="00897AA5" w:rsidP="00DA47C0">
      <w:pPr>
        <w:pStyle w:val="Bulletpoint"/>
      </w:pPr>
      <w:r>
        <w:t xml:space="preserve">Government fixed charge - the actual DPI </w:t>
      </w:r>
      <w:r w:rsidR="00A00F3A">
        <w:t xml:space="preserve">Water </w:t>
      </w:r>
      <w:r>
        <w:t>fixed charge listed on DPI’s schedule of charges</w:t>
      </w:r>
      <w:r w:rsidR="008F6C32">
        <w:t xml:space="preserve"> ($1.86)</w:t>
      </w:r>
      <w:r>
        <w:t xml:space="preserve">, is fully passed through to Jemalong’s customers. The difference between the actual DPI </w:t>
      </w:r>
      <w:r w:rsidR="00A00F3A">
        <w:t xml:space="preserve">Water </w:t>
      </w:r>
      <w:r>
        <w:t>fixed charge and the government fixed charge is the WaterNSW fixed charge component of the government fixed charge</w:t>
      </w:r>
      <w:r w:rsidR="00202512">
        <w:t xml:space="preserve"> </w:t>
      </w:r>
      <w:r w:rsidR="008F6C32">
        <w:t xml:space="preserve">($3.24) </w:t>
      </w:r>
      <w:r w:rsidR="00202512">
        <w:t xml:space="preserve">minus the relevant ICD rebate </w:t>
      </w:r>
      <w:r w:rsidR="00202512" w:rsidRPr="00EF12A7">
        <w:t xml:space="preserve">($0.60 per ML of </w:t>
      </w:r>
      <w:r w:rsidR="00EF12A7" w:rsidRPr="003F1051">
        <w:t>irrigation right</w:t>
      </w:r>
      <w:r w:rsidR="00202512" w:rsidRPr="00EF12A7">
        <w:t>)</w:t>
      </w:r>
      <w:r w:rsidRPr="00EF12A7">
        <w:t xml:space="preserve">. </w:t>
      </w:r>
    </w:p>
    <w:p w:rsidR="008C5D2B" w:rsidRPr="008C5D2B" w:rsidRDefault="00897AA5" w:rsidP="00DA47C0">
      <w:pPr>
        <w:pStyle w:val="Bulletpoint"/>
      </w:pPr>
      <w:r w:rsidRPr="008C5D2B">
        <w:t xml:space="preserve">Conveyance fixed charge - </w:t>
      </w:r>
      <w:r w:rsidR="0051686D">
        <w:t>t</w:t>
      </w:r>
      <w:r w:rsidR="00EB6AEA" w:rsidRPr="008C5D2B">
        <w:t xml:space="preserve">he </w:t>
      </w:r>
      <w:r w:rsidRPr="008C5D2B">
        <w:t xml:space="preserve">components of Jemalong’s conveyance fixed charge </w:t>
      </w:r>
      <w:r w:rsidR="00A00F3A">
        <w:t xml:space="preserve">($1.12) </w:t>
      </w:r>
      <w:r w:rsidRPr="008C5D2B">
        <w:t>are separated using a ratio of the actual WaterNSW</w:t>
      </w:r>
      <w:r w:rsidR="000918CE">
        <w:rPr>
          <w:rStyle w:val="FootnoteReference"/>
        </w:rPr>
        <w:footnoteReference w:id="61"/>
      </w:r>
      <w:r w:rsidRPr="008C5D2B">
        <w:t xml:space="preserve"> and DPI </w:t>
      </w:r>
      <w:r w:rsidR="00A00F3A">
        <w:t xml:space="preserve">Water </w:t>
      </w:r>
      <w:r w:rsidRPr="008C5D2B">
        <w:t>fixed charges.</w:t>
      </w:r>
      <w:r w:rsidR="00A00F3A">
        <w:t xml:space="preserve"> The WaterNSW component of the conveyance fixed charge is $0.</w:t>
      </w:r>
      <w:r w:rsidR="003102B3">
        <w:t>71</w:t>
      </w:r>
      <w:r w:rsidR="00A00F3A">
        <w:t>/ML and the DPI</w:t>
      </w:r>
      <w:r w:rsidR="008C5D2B" w:rsidRPr="003F1051" w:rsidDel="008C5D2B">
        <w:t xml:space="preserve"> </w:t>
      </w:r>
      <w:r w:rsidR="00A00F3A">
        <w:t>Water component is $0.</w:t>
      </w:r>
      <w:r w:rsidR="003102B3">
        <w:t>41</w:t>
      </w:r>
      <w:r w:rsidR="00A00F3A">
        <w:t>/ML</w:t>
      </w:r>
      <w:r w:rsidR="008A2391">
        <w:t>.</w:t>
      </w:r>
    </w:p>
    <w:p w:rsidR="00897AA5" w:rsidRPr="002B4746" w:rsidRDefault="00897AA5" w:rsidP="00DA47C0">
      <w:pPr>
        <w:pStyle w:val="Bulletpoint"/>
      </w:pPr>
      <w:r>
        <w:t xml:space="preserve">Government usage charge - </w:t>
      </w:r>
      <w:r w:rsidR="0051686D">
        <w:t>t</w:t>
      </w:r>
      <w:r>
        <w:t xml:space="preserve">he </w:t>
      </w:r>
      <w:r w:rsidR="00EE7898">
        <w:t>government usage charge listed on Jemalong’s statement of charges ($21.47</w:t>
      </w:r>
      <w:r w:rsidR="002058E6">
        <w:t>/ML</w:t>
      </w:r>
      <w:r w:rsidR="00EE7898">
        <w:t xml:space="preserve">) is the sum of the </w:t>
      </w:r>
      <w:r w:rsidR="00202512">
        <w:t xml:space="preserve">regulated </w:t>
      </w:r>
      <w:r w:rsidR="00EE7898">
        <w:t>WaterNSW ($19.33</w:t>
      </w:r>
      <w:r w:rsidR="002058E6">
        <w:t>/ML</w:t>
      </w:r>
      <w:r w:rsidR="00EE7898">
        <w:t xml:space="preserve">) and the DPI Water </w:t>
      </w:r>
      <w:r w:rsidR="0051686D">
        <w:t xml:space="preserve">variable </w:t>
      </w:r>
      <w:r w:rsidR="00EE7898">
        <w:t>charges ($2.14</w:t>
      </w:r>
      <w:r w:rsidR="002058E6">
        <w:t>/ML</w:t>
      </w:r>
      <w:r w:rsidR="00EE7898">
        <w:t>)</w:t>
      </w:r>
      <w:r w:rsidR="0051686D">
        <w:t xml:space="preserve"> for the Lachlan valley</w:t>
      </w:r>
      <w:r w:rsidR="00EE7898">
        <w:t xml:space="preserve">. </w:t>
      </w:r>
    </w:p>
    <w:p w:rsidR="00897AA5" w:rsidRDefault="00897AA5" w:rsidP="00897AA5">
      <w:pPr>
        <w:pStyle w:val="Heading4"/>
        <w:keepNext/>
      </w:pPr>
      <w:bookmarkStart w:id="183" w:name="_Toc418071391"/>
      <w:r>
        <w:t>Hypothetical termination fee</w:t>
      </w:r>
      <w:bookmarkEnd w:id="183"/>
    </w:p>
    <w:p w:rsidR="00897AA5" w:rsidRDefault="00897AA5" w:rsidP="00897AA5">
      <w:r>
        <w:t>The hypothetical termination fee is calculated assuming 250 ML of general security delivery entitlement is held, with either 50 or 100 per cent of this volume terminated.</w:t>
      </w:r>
    </w:p>
    <w:p w:rsidR="00897AA5" w:rsidRDefault="00897AA5" w:rsidP="00897AA5">
      <w:r>
        <w:t xml:space="preserve">The termination fee listed on Jemalong’s schedule of charges </w:t>
      </w:r>
      <w:r w:rsidR="00484247">
        <w:t xml:space="preserve">(excluding GST) </w:t>
      </w:r>
      <w:r>
        <w:t xml:space="preserve">is </w:t>
      </w:r>
      <w:r w:rsidR="002058E6">
        <w:t>the basis of</w:t>
      </w:r>
      <w:r>
        <w:t xml:space="preserve"> the calculation of the hypothetical termination fee.</w:t>
      </w:r>
      <w:r w:rsidR="00A22CCD">
        <w:t xml:space="preserve"> </w:t>
      </w:r>
    </w:p>
    <w:p w:rsidR="00897AA5" w:rsidRDefault="001C3657" w:rsidP="00897AA5">
      <w:pPr>
        <w:pStyle w:val="Heading4"/>
        <w:keepNext/>
      </w:pPr>
      <w:r>
        <w:lastRenderedPageBreak/>
        <w:t>2015−16</w:t>
      </w:r>
      <w:r w:rsidR="00897AA5">
        <w:t xml:space="preserve"> Schedule of charges</w:t>
      </w:r>
    </w:p>
    <w:p w:rsidR="00897AA5" w:rsidRDefault="00897AA5" w:rsidP="00897AA5">
      <w:r>
        <w:t xml:space="preserve">The ACCC sourced Jemalong’s schedule of charges from its </w:t>
      </w:r>
      <w:r w:rsidR="0051686D">
        <w:t>website:</w:t>
      </w:r>
      <w:r>
        <w:t xml:space="preserve"> </w:t>
      </w:r>
      <w:hyperlink r:id="rId92" w:history="1">
        <w:r w:rsidRPr="000E7166">
          <w:rPr>
            <w:rStyle w:val="Hyperlink"/>
          </w:rPr>
          <w:t>http://jemalongirrigation.com.au/#</w:t>
        </w:r>
      </w:hyperlink>
      <w:r>
        <w:t xml:space="preserve">.   </w:t>
      </w:r>
    </w:p>
    <w:p w:rsidR="00897AA5" w:rsidRDefault="003C515E" w:rsidP="00897AA5">
      <w:r>
        <w:rPr>
          <w:noProof/>
          <w:lang w:eastAsia="en-AU"/>
        </w:rPr>
        <w:drawing>
          <wp:inline distT="0" distB="0" distL="0" distR="0" wp14:anchorId="4297FA92" wp14:editId="5B747AD2">
            <wp:extent cx="5669280" cy="7680960"/>
            <wp:effectExtent l="0" t="0" r="7620" b="0"/>
            <wp:docPr id="18" name="Picture 1" descr="Schedule of Charges of Jemalong Irrigation Limited used by the ACCC to prepare hypothetical bills for the 2015-16 water year." title="Jemalong Irrigation Limited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3"/>
                    <a:stretch>
                      <a:fillRect/>
                    </a:stretch>
                  </pic:blipFill>
                  <pic:spPr>
                    <a:xfrm>
                      <a:off x="0" y="0"/>
                      <a:ext cx="5672455" cy="7685262"/>
                    </a:xfrm>
                    <a:prstGeom prst="rect">
                      <a:avLst/>
                    </a:prstGeom>
                  </pic:spPr>
                </pic:pic>
              </a:graphicData>
            </a:graphic>
          </wp:inline>
        </w:drawing>
      </w:r>
    </w:p>
    <w:p w:rsidR="00897AA5" w:rsidRDefault="00897AA5" w:rsidP="00736EBA">
      <w:pPr>
        <w:pStyle w:val="Numbered111"/>
      </w:pPr>
      <w:bookmarkStart w:id="184" w:name="_Toc418071392"/>
      <w:bookmarkStart w:id="185" w:name="_Toc418495372"/>
      <w:bookmarkStart w:id="186" w:name="_Toc447900617"/>
      <w:bookmarkStart w:id="187" w:name="_Toc449693007"/>
      <w:bookmarkStart w:id="188" w:name="_Toc485303364"/>
      <w:r>
        <w:lastRenderedPageBreak/>
        <w:t>Narromine Irrigation Board of Management (N</w:t>
      </w:r>
      <w:r w:rsidR="00BF3323">
        <w:t>arromine</w:t>
      </w:r>
      <w:r>
        <w:t>), NSW Macquarie</w:t>
      </w:r>
      <w:bookmarkEnd w:id="184"/>
      <w:bookmarkEnd w:id="185"/>
      <w:bookmarkEnd w:id="186"/>
      <w:bookmarkEnd w:id="187"/>
      <w:bookmarkEnd w:id="188"/>
    </w:p>
    <w:p w:rsidR="00897AA5" w:rsidRDefault="00897AA5" w:rsidP="00897AA5">
      <w:pPr>
        <w:pStyle w:val="Heading4"/>
        <w:keepNext/>
      </w:pPr>
      <w:bookmarkStart w:id="189" w:name="_Toc418071393"/>
      <w:r>
        <w:t>Off-river IO hypothetical bill</w:t>
      </w:r>
    </w:p>
    <w:bookmarkEnd w:id="189"/>
    <w:p w:rsidR="00897AA5" w:rsidRDefault="00897AA5" w:rsidP="00897AA5">
      <w:r>
        <w:t xml:space="preserve">The analysis assumes one irrigator in </w:t>
      </w:r>
      <w:r w:rsidR="00BF3323">
        <w:t xml:space="preserve">Narromine’s </w:t>
      </w:r>
      <w:r>
        <w:t>network who:</w:t>
      </w:r>
    </w:p>
    <w:p w:rsidR="00897AA5" w:rsidRDefault="00897AA5" w:rsidP="00DA47C0">
      <w:pPr>
        <w:pStyle w:val="Bulletpoint"/>
      </w:pPr>
      <w:r>
        <w:t>holds a specific volume of irrigation right (50 ML, 250 ML or 1000 ML), and</w:t>
      </w:r>
    </w:p>
    <w:p w:rsidR="00897AA5" w:rsidRDefault="00897AA5" w:rsidP="00DA47C0">
      <w:pPr>
        <w:pStyle w:val="Bulletpoint"/>
      </w:pPr>
      <w:r>
        <w:t>holds an equivalent amount of delivery entitlement (50 ML, 250 ML or 1000 ML, respectively).</w:t>
      </w:r>
    </w:p>
    <w:p w:rsidR="00897AA5" w:rsidRDefault="00897AA5" w:rsidP="00897AA5">
      <w:r>
        <w:t xml:space="preserve">The </w:t>
      </w:r>
      <w:r w:rsidR="001C3657">
        <w:t>2015−16</w:t>
      </w:r>
      <w:r>
        <w:t xml:space="preserve"> hypothetical bill analysis for N</w:t>
      </w:r>
      <w:r w:rsidR="00D07278">
        <w:t>IBM</w:t>
      </w:r>
      <w:r>
        <w:t xml:space="preserve"> includes the following charges listed on </w:t>
      </w:r>
      <w:r w:rsidR="00D07278">
        <w:t xml:space="preserve">its </w:t>
      </w:r>
      <w:r>
        <w:t xml:space="preserve">schedule of charges. </w:t>
      </w:r>
    </w:p>
    <w:p w:rsidR="00897AA5" w:rsidRDefault="00897AA5" w:rsidP="00897AA5">
      <w:r>
        <w:t>Fixed:</w:t>
      </w:r>
    </w:p>
    <w:p w:rsidR="00897AA5" w:rsidRDefault="00897AA5" w:rsidP="00DA47C0">
      <w:pPr>
        <w:pStyle w:val="Bulletpoint"/>
      </w:pPr>
      <w:r>
        <w:t>NIBM access fee</w:t>
      </w:r>
      <w:r w:rsidR="00E21B46">
        <w:t xml:space="preserve"> </w:t>
      </w:r>
      <w:r w:rsidR="0030171F">
        <w:t>(levied per ML of ‘delivery water entitlements’ (water delivery right) held)</w:t>
      </w:r>
    </w:p>
    <w:p w:rsidR="00897AA5" w:rsidRDefault="00897AA5" w:rsidP="00DA47C0">
      <w:pPr>
        <w:pStyle w:val="Bulletpoint"/>
      </w:pPr>
      <w:r>
        <w:t xml:space="preserve">WaterNSW </w:t>
      </w:r>
      <w:r w:rsidR="00C40CD5">
        <w:t>(</w:t>
      </w:r>
      <w:r w:rsidR="00BE443F">
        <w:t>‘</w:t>
      </w:r>
      <w:r w:rsidR="00C40CD5">
        <w:t>State Water Corporation</w:t>
      </w:r>
      <w:r w:rsidR="00BE443F">
        <w:t>’</w:t>
      </w:r>
      <w:r w:rsidR="00C40CD5">
        <w:t xml:space="preserve">) </w:t>
      </w:r>
      <w:r>
        <w:t>fixed charge</w:t>
      </w:r>
      <w:r w:rsidR="0030171F">
        <w:t xml:space="preserve"> (levied per ML of ‘water entitlement’ (irrigation right) held)</w:t>
      </w:r>
    </w:p>
    <w:p w:rsidR="00897AA5" w:rsidRDefault="00897AA5" w:rsidP="00DA47C0">
      <w:pPr>
        <w:pStyle w:val="Bulletpoint"/>
      </w:pPr>
      <w:r>
        <w:t xml:space="preserve">DPI </w:t>
      </w:r>
      <w:r w:rsidR="00C40CD5">
        <w:t>Water (</w:t>
      </w:r>
      <w:r w:rsidR="00BE443F">
        <w:t>‘</w:t>
      </w:r>
      <w:r w:rsidR="00C40CD5">
        <w:t>NSW Office of Water</w:t>
      </w:r>
      <w:r w:rsidR="00BE443F">
        <w:t>’</w:t>
      </w:r>
      <w:r w:rsidR="00C40CD5">
        <w:t xml:space="preserve">) </w:t>
      </w:r>
      <w:r>
        <w:t>fixed charge</w:t>
      </w:r>
      <w:r w:rsidR="0030171F">
        <w:t xml:space="preserve"> (levied per ML of ‘water entitlement’ (irrigation right) held)</w:t>
      </w:r>
    </w:p>
    <w:p w:rsidR="00897AA5" w:rsidRDefault="00897AA5" w:rsidP="00DA47C0">
      <w:pPr>
        <w:pStyle w:val="Bulletpoint"/>
      </w:pPr>
      <w:r>
        <w:t>metering charge</w:t>
      </w:r>
      <w:r w:rsidR="0030171F">
        <w:t xml:space="preserve"> (levied per property)</w:t>
      </w:r>
    </w:p>
    <w:p w:rsidR="00897AA5" w:rsidRDefault="00897AA5" w:rsidP="00DA47C0">
      <w:pPr>
        <w:pStyle w:val="Bulletpoint"/>
      </w:pPr>
      <w:r>
        <w:t xml:space="preserve">administration charge </w:t>
      </w:r>
      <w:r w:rsidR="0030171F">
        <w:t>(levier per account)</w:t>
      </w:r>
    </w:p>
    <w:p w:rsidR="00897AA5" w:rsidRDefault="00897AA5" w:rsidP="00897AA5">
      <w:r>
        <w:t>Variable:</w:t>
      </w:r>
    </w:p>
    <w:p w:rsidR="00897AA5" w:rsidRDefault="00897AA5" w:rsidP="00DA47C0">
      <w:pPr>
        <w:pStyle w:val="Bulletpoint"/>
      </w:pPr>
      <w:r>
        <w:t>NIBM variable charge</w:t>
      </w:r>
      <w:r w:rsidR="0030171F">
        <w:t xml:space="preserve"> (levied per ML of water delivered)</w:t>
      </w:r>
    </w:p>
    <w:p w:rsidR="00897AA5" w:rsidRDefault="00897AA5" w:rsidP="00DA47C0">
      <w:pPr>
        <w:pStyle w:val="Bulletpoint"/>
      </w:pPr>
      <w:r>
        <w:t xml:space="preserve">WaterNSW </w:t>
      </w:r>
      <w:r w:rsidR="00C40CD5">
        <w:t>(</w:t>
      </w:r>
      <w:r w:rsidR="00BE443F">
        <w:t>‘</w:t>
      </w:r>
      <w:r w:rsidR="00C40CD5">
        <w:t>State Water Corporation</w:t>
      </w:r>
      <w:r w:rsidR="00BE443F">
        <w:t>’</w:t>
      </w:r>
      <w:r w:rsidR="00C40CD5">
        <w:t xml:space="preserve">) </w:t>
      </w:r>
      <w:r>
        <w:t>usage charge</w:t>
      </w:r>
      <w:r w:rsidR="0030171F">
        <w:t xml:space="preserve"> (levied per ML of water delivered)</w:t>
      </w:r>
    </w:p>
    <w:p w:rsidR="00897AA5" w:rsidRDefault="00897AA5" w:rsidP="00DA47C0">
      <w:pPr>
        <w:pStyle w:val="Bulletpoint"/>
      </w:pPr>
      <w:r>
        <w:t xml:space="preserve">DPI </w:t>
      </w:r>
      <w:r w:rsidR="002D66AC">
        <w:t xml:space="preserve">Water </w:t>
      </w:r>
      <w:r w:rsidR="00C40CD5">
        <w:t>(</w:t>
      </w:r>
      <w:r w:rsidR="00BE443F">
        <w:t>‘</w:t>
      </w:r>
      <w:r w:rsidR="00C40CD5">
        <w:t>NSW Water</w:t>
      </w:r>
      <w:r w:rsidR="00BE443F">
        <w:t>’</w:t>
      </w:r>
      <w:r w:rsidR="00C40CD5">
        <w:t xml:space="preserve">) </w:t>
      </w:r>
      <w:r>
        <w:t>usage charge</w:t>
      </w:r>
      <w:r w:rsidR="0030171F">
        <w:t xml:space="preserve"> (levied per ML of water delivered)</w:t>
      </w:r>
    </w:p>
    <w:p w:rsidR="00897AA5" w:rsidRDefault="00897AA5" w:rsidP="00897AA5">
      <w:r>
        <w:t>The analysis assumes that the irrigator:</w:t>
      </w:r>
    </w:p>
    <w:p w:rsidR="00897AA5" w:rsidRDefault="00897AA5" w:rsidP="00DA47C0">
      <w:pPr>
        <w:pStyle w:val="Bulletpoint"/>
      </w:pPr>
      <w:r>
        <w:t xml:space="preserve">operates one </w:t>
      </w:r>
      <w:r w:rsidR="0030171F">
        <w:t>property</w:t>
      </w:r>
      <w:r>
        <w:t xml:space="preserve">, incurring the metering charge once and </w:t>
      </w:r>
    </w:p>
    <w:p w:rsidR="00897AA5" w:rsidRPr="00661DC5" w:rsidRDefault="00897AA5" w:rsidP="00DA47C0">
      <w:pPr>
        <w:pStyle w:val="Bulletpoint"/>
      </w:pPr>
      <w:r>
        <w:t>operates one account, incurring the administration charge once.</w:t>
      </w:r>
    </w:p>
    <w:p w:rsidR="002D66AC" w:rsidRDefault="002D66AC" w:rsidP="002D66AC">
      <w:bookmarkStart w:id="190" w:name="_Toc418071394"/>
      <w:r>
        <w:t>The hypothetical bill analysis makes the following assumptions regarding WaterNSW and DPI Water fixed and variable charge components:</w:t>
      </w:r>
    </w:p>
    <w:p w:rsidR="002D66AC" w:rsidRPr="008C5D2B" w:rsidRDefault="002D66AC" w:rsidP="00DA47C0">
      <w:pPr>
        <w:pStyle w:val="Bulletpoint"/>
      </w:pPr>
      <w:r>
        <w:t xml:space="preserve">Fixed charges: </w:t>
      </w:r>
      <w:r w:rsidR="00C40CD5">
        <w:t>N</w:t>
      </w:r>
      <w:r w:rsidR="009878B3">
        <w:t>arromine</w:t>
      </w:r>
      <w:r w:rsidR="00C40CD5">
        <w:t xml:space="preserve">’s </w:t>
      </w:r>
      <w:r>
        <w:t xml:space="preserve">DPI Water ($1.98/ML) and WaterNSW ($3.51/ML) fixed </w:t>
      </w:r>
      <w:r w:rsidR="00F17D91">
        <w:t>charges are</w:t>
      </w:r>
      <w:r>
        <w:t xml:space="preserve"> fully passed through</w:t>
      </w:r>
      <w:r w:rsidR="00002C6C">
        <w:t xml:space="preserve"> to </w:t>
      </w:r>
      <w:r w:rsidR="00C40CD5">
        <w:t xml:space="preserve">its </w:t>
      </w:r>
      <w:r>
        <w:t xml:space="preserve">customers. These charges are </w:t>
      </w:r>
      <w:r w:rsidR="00C40CD5">
        <w:t xml:space="preserve">equal to </w:t>
      </w:r>
      <w:r>
        <w:t xml:space="preserve">the regulated charges for DPI Water and WaterNSW respectively for the Macquarie valley. </w:t>
      </w:r>
    </w:p>
    <w:p w:rsidR="00544346" w:rsidRPr="003F1051" w:rsidRDefault="002D66AC" w:rsidP="00DA47C0">
      <w:pPr>
        <w:pStyle w:val="Bulletpoint"/>
      </w:pPr>
      <w:r w:rsidRPr="00544346">
        <w:t xml:space="preserve">Variable usage charges – </w:t>
      </w:r>
    </w:p>
    <w:p w:rsidR="00544346" w:rsidRPr="003F1051" w:rsidRDefault="009878B3" w:rsidP="00F90601">
      <w:pPr>
        <w:pStyle w:val="Bulletpoint2"/>
      </w:pPr>
      <w:r w:rsidRPr="003F1051">
        <w:t>N</w:t>
      </w:r>
      <w:r>
        <w:t>arromine</w:t>
      </w:r>
      <w:r w:rsidRPr="00544346">
        <w:t xml:space="preserve">’s </w:t>
      </w:r>
      <w:r w:rsidR="002D66AC" w:rsidRPr="00544346">
        <w:t xml:space="preserve">DPI Water ($2.34/ML) </w:t>
      </w:r>
      <w:r w:rsidR="00544346" w:rsidRPr="003F1051">
        <w:t xml:space="preserve">usage charge is larger than the regulated DPI </w:t>
      </w:r>
      <w:r w:rsidR="00C40CD5">
        <w:t>W</w:t>
      </w:r>
      <w:r w:rsidR="00C40CD5" w:rsidRPr="003F1051">
        <w:t xml:space="preserve">ater </w:t>
      </w:r>
      <w:r w:rsidR="00544346" w:rsidRPr="003F1051">
        <w:t>charge ($1.90/ML) for the Macquarie valley.</w:t>
      </w:r>
    </w:p>
    <w:p w:rsidR="00544346" w:rsidRPr="003F1051" w:rsidRDefault="009878B3" w:rsidP="00F90601">
      <w:pPr>
        <w:pStyle w:val="Bulletpoint2"/>
      </w:pPr>
      <w:r w:rsidRPr="003F1051">
        <w:t>N</w:t>
      </w:r>
      <w:r>
        <w:t>arromine</w:t>
      </w:r>
      <w:r w:rsidRPr="003F1051">
        <w:t xml:space="preserve">’s </w:t>
      </w:r>
      <w:r w:rsidR="002D66AC" w:rsidRPr="00544346">
        <w:t xml:space="preserve">WaterNSW </w:t>
      </w:r>
      <w:r w:rsidR="00544346" w:rsidRPr="003F1051">
        <w:t xml:space="preserve">usage charge </w:t>
      </w:r>
      <w:r w:rsidR="002D66AC" w:rsidRPr="00544346">
        <w:t>($18.27/ML)</w:t>
      </w:r>
      <w:r w:rsidR="00544346" w:rsidRPr="003F1051">
        <w:t xml:space="preserve"> is</w:t>
      </w:r>
      <w:r w:rsidR="002D66AC" w:rsidRPr="00544346">
        <w:t xml:space="preserve"> larger than the </w:t>
      </w:r>
      <w:r w:rsidR="00544346" w:rsidRPr="003F1051">
        <w:t xml:space="preserve">regulated WaterNSW </w:t>
      </w:r>
      <w:r w:rsidR="002D66AC" w:rsidRPr="00544346">
        <w:t xml:space="preserve">regulated </w:t>
      </w:r>
      <w:r w:rsidR="00544346" w:rsidRPr="003F1051">
        <w:t xml:space="preserve">usage </w:t>
      </w:r>
      <w:r w:rsidR="002D66AC" w:rsidRPr="00544346">
        <w:t xml:space="preserve">charges for the Macquarie valley </w:t>
      </w:r>
      <w:r w:rsidR="00544346" w:rsidRPr="003F1051">
        <w:t>(</w:t>
      </w:r>
      <w:r w:rsidR="007F4F20" w:rsidRPr="00544346">
        <w:t>$15.89/ML).</w:t>
      </w:r>
    </w:p>
    <w:p w:rsidR="002D66AC" w:rsidRPr="00544871" w:rsidRDefault="00544346" w:rsidP="00081B94">
      <w:r w:rsidRPr="003F1051">
        <w:t>The difference between N</w:t>
      </w:r>
      <w:r w:rsidR="009878B3">
        <w:t>arromine</w:t>
      </w:r>
      <w:r w:rsidRPr="003F1051">
        <w:t xml:space="preserve">’s DPI Water and WaterNSW </w:t>
      </w:r>
      <w:r w:rsidR="00C40CD5">
        <w:t xml:space="preserve">usage </w:t>
      </w:r>
      <w:r w:rsidRPr="003F1051">
        <w:t xml:space="preserve">charges and the regulated WaterNSW </w:t>
      </w:r>
      <w:r w:rsidR="00C40CD5">
        <w:t xml:space="preserve">usage </w:t>
      </w:r>
      <w:r w:rsidRPr="003F1051">
        <w:t xml:space="preserve">charges accounts for conveyance losses. </w:t>
      </w:r>
    </w:p>
    <w:p w:rsidR="00897AA5" w:rsidRDefault="00897AA5" w:rsidP="00897AA5">
      <w:pPr>
        <w:pStyle w:val="Heading4"/>
        <w:keepNext/>
      </w:pPr>
      <w:r>
        <w:lastRenderedPageBreak/>
        <w:t>Hypothetical termination fee</w:t>
      </w:r>
      <w:bookmarkEnd w:id="190"/>
    </w:p>
    <w:p w:rsidR="00897AA5" w:rsidRDefault="00897AA5" w:rsidP="00897AA5">
      <w:r>
        <w:t>The hypothetical termination fee is calculated assuming 250 ML of delivery entitlement is held, with either 50 or 100 per cent of this volume terminated.</w:t>
      </w:r>
    </w:p>
    <w:p w:rsidR="00BE3129" w:rsidRDefault="00BE3129" w:rsidP="00BE3129">
      <w:r>
        <w:t xml:space="preserve">The following (GST exclusive) off-river infrastructure charges are included in the calculation of the hypothetical termination fee: </w:t>
      </w:r>
    </w:p>
    <w:p w:rsidR="00BE3129" w:rsidRDefault="00BE3129" w:rsidP="00DA47C0">
      <w:pPr>
        <w:pStyle w:val="Bulletpoint"/>
      </w:pPr>
      <w:r>
        <w:t>NIBM access fee</w:t>
      </w:r>
    </w:p>
    <w:p w:rsidR="00BE3129" w:rsidRDefault="00BE3129" w:rsidP="00DA47C0">
      <w:pPr>
        <w:pStyle w:val="Bulletpoint"/>
      </w:pPr>
      <w:r>
        <w:t>administration charge (for the 100 per cent termination scenario only)</w:t>
      </w:r>
    </w:p>
    <w:p w:rsidR="00BE3129" w:rsidRDefault="00BE3129" w:rsidP="00DA47C0">
      <w:pPr>
        <w:pStyle w:val="Bulletpoint"/>
      </w:pPr>
      <w:r>
        <w:t>metering charge (for the 100 per cent termination scenario only)</w:t>
      </w:r>
      <w:r w:rsidR="009878B3">
        <w:t>.</w:t>
      </w:r>
    </w:p>
    <w:p w:rsidR="0022077A" w:rsidRDefault="00CD7F03" w:rsidP="00081B94">
      <w:r>
        <w:t>The dollar amount of each of these fixed charges (as applicable) is multiplied by ten and then added together as part of the calculation of the hypothetical bill</w:t>
      </w:r>
      <w:r w:rsidR="00081B94">
        <w:t>.</w:t>
      </w:r>
      <w:r w:rsidDel="00CD7F03">
        <w:t xml:space="preserve"> </w:t>
      </w:r>
    </w:p>
    <w:p w:rsidR="00897AA5" w:rsidRDefault="001C3657" w:rsidP="00897AA5">
      <w:pPr>
        <w:pStyle w:val="Heading4"/>
        <w:keepNext/>
      </w:pPr>
      <w:r>
        <w:t>2015−16</w:t>
      </w:r>
      <w:r w:rsidR="00377245">
        <w:t xml:space="preserve"> </w:t>
      </w:r>
      <w:r w:rsidR="00897AA5">
        <w:t>Schedule of charges</w:t>
      </w:r>
    </w:p>
    <w:p w:rsidR="00897AA5" w:rsidRDefault="00897AA5" w:rsidP="00897AA5">
      <w:r>
        <w:t>The ACCC sourced N</w:t>
      </w:r>
      <w:r w:rsidR="009878B3">
        <w:t>arromine</w:t>
      </w:r>
      <w:r>
        <w:t>’s schedule of charges from its website</w:t>
      </w:r>
      <w:r w:rsidR="00081B94">
        <w:t xml:space="preserve">: </w:t>
      </w:r>
      <w:hyperlink r:id="rId94" w:history="1">
        <w:r w:rsidRPr="000E7166">
          <w:rPr>
            <w:rStyle w:val="Hyperlink"/>
          </w:rPr>
          <w:t>http://narromineirrigation.com.au/index.html</w:t>
        </w:r>
      </w:hyperlink>
      <w:r>
        <w:t xml:space="preserve">. </w:t>
      </w:r>
    </w:p>
    <w:p w:rsidR="003C515E" w:rsidRDefault="00113342" w:rsidP="00736EBA">
      <w:bookmarkStart w:id="191" w:name="_Toc418071395"/>
      <w:bookmarkStart w:id="192" w:name="_Toc418495373"/>
      <w:bookmarkStart w:id="193" w:name="_Toc447900618"/>
      <w:bookmarkStart w:id="194" w:name="_Toc449693008"/>
      <w:r>
        <w:rPr>
          <w:noProof/>
          <w:lang w:eastAsia="en-AU"/>
        </w:rPr>
        <w:lastRenderedPageBreak/>
        <w:drawing>
          <wp:inline distT="0" distB="0" distL="0" distR="0" wp14:anchorId="1E98A494" wp14:editId="60EE96E2">
            <wp:extent cx="5732890" cy="6432605"/>
            <wp:effectExtent l="0" t="0" r="1270" b="6350"/>
            <wp:docPr id="109" name="Picture 109" descr="Schedule of Charges of the Narromine Irrigation Board of Management used by the ACCC to prepare hypothetical bills for the 2015-16 water year." title="Narromine Irrigation Board of Management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1510" cy="6431057"/>
                    </a:xfrm>
                    <a:prstGeom prst="rect">
                      <a:avLst/>
                    </a:prstGeom>
                  </pic:spPr>
                </pic:pic>
              </a:graphicData>
            </a:graphic>
          </wp:inline>
        </w:drawing>
      </w:r>
    </w:p>
    <w:p w:rsidR="00897AA5" w:rsidRPr="00661DC5" w:rsidRDefault="00897AA5" w:rsidP="00736EBA">
      <w:pPr>
        <w:pStyle w:val="Numbered111"/>
      </w:pPr>
      <w:bookmarkStart w:id="195" w:name="_Toc485303365"/>
      <w:r>
        <w:t>Buddah Lake Irrigators’ Association (Buddah Lake), NSW Macquarie</w:t>
      </w:r>
      <w:bookmarkEnd w:id="191"/>
      <w:bookmarkEnd w:id="192"/>
      <w:bookmarkEnd w:id="193"/>
      <w:bookmarkEnd w:id="194"/>
      <w:bookmarkEnd w:id="195"/>
    </w:p>
    <w:p w:rsidR="00897AA5" w:rsidRDefault="00897AA5" w:rsidP="00897AA5">
      <w:pPr>
        <w:pStyle w:val="Heading4"/>
        <w:keepNext/>
      </w:pPr>
      <w:bookmarkStart w:id="196" w:name="_Toc418071396"/>
      <w:r>
        <w:t>Off-river IO hypothetical bill</w:t>
      </w:r>
    </w:p>
    <w:bookmarkEnd w:id="196"/>
    <w:p w:rsidR="008E718D" w:rsidRDefault="008E718D" w:rsidP="008E718D">
      <w:r>
        <w:t>Buddah Lake is a joint water supply scheme, meaning that customers jointly hold a single water access entitlement (rather than the operator holding the entitlement and customers holding irrigation rights).</w:t>
      </w:r>
    </w:p>
    <w:p w:rsidR="00897AA5" w:rsidRDefault="00897AA5" w:rsidP="00897AA5">
      <w:r>
        <w:t>The analysis assumes one irrigator in Buddah Lake’s network who:</w:t>
      </w:r>
    </w:p>
    <w:p w:rsidR="00897AA5" w:rsidRDefault="00897AA5" w:rsidP="00DA47C0">
      <w:pPr>
        <w:pStyle w:val="Bulletpoint"/>
      </w:pPr>
      <w:r>
        <w:t xml:space="preserve">holds a specific share of water access entitlement (50 ML, 250 ML or 1000 ML) and </w:t>
      </w:r>
    </w:p>
    <w:p w:rsidR="00897AA5" w:rsidRDefault="00897AA5" w:rsidP="00DA47C0">
      <w:pPr>
        <w:pStyle w:val="Bulletpoint"/>
      </w:pPr>
      <w:r>
        <w:t xml:space="preserve">holds an equivalent amount of water delivery right (50 ML, 250 ML or 1000 ML, respectively). </w:t>
      </w:r>
    </w:p>
    <w:p w:rsidR="00897AA5" w:rsidRDefault="00897AA5" w:rsidP="00897AA5">
      <w:r>
        <w:lastRenderedPageBreak/>
        <w:t xml:space="preserve">The </w:t>
      </w:r>
      <w:r w:rsidR="001C3657">
        <w:t>2015−16</w:t>
      </w:r>
      <w:r>
        <w:t xml:space="preserve"> hypothetical bill analysis includes the following charges listed on Buddah Lake’s schedule of charges.</w:t>
      </w:r>
    </w:p>
    <w:p w:rsidR="00897AA5" w:rsidRDefault="00897AA5" w:rsidP="00897AA5">
      <w:r>
        <w:t>Fixed:</w:t>
      </w:r>
    </w:p>
    <w:p w:rsidR="00897AA5" w:rsidRDefault="00897AA5" w:rsidP="00DA47C0">
      <w:pPr>
        <w:pStyle w:val="Bulletpoint"/>
      </w:pPr>
      <w:r>
        <w:t>operating and maintenance fee</w:t>
      </w:r>
      <w:r w:rsidR="00744D11">
        <w:t xml:space="preserve"> </w:t>
      </w:r>
      <w:r w:rsidR="0030171F">
        <w:t xml:space="preserve">(levied per </w:t>
      </w:r>
      <w:r w:rsidR="00AE3134">
        <w:t>1250 ML water delivery right per month (see below))</w:t>
      </w:r>
    </w:p>
    <w:p w:rsidR="00897AA5" w:rsidRDefault="00897AA5" w:rsidP="00897AA5">
      <w:r>
        <w:t>Variable:</w:t>
      </w:r>
    </w:p>
    <w:p w:rsidR="00897AA5" w:rsidRDefault="00897AA5" w:rsidP="00DA47C0">
      <w:pPr>
        <w:pStyle w:val="Bulletpoint"/>
      </w:pPr>
      <w:r>
        <w:t>water charge</w:t>
      </w:r>
      <w:r w:rsidR="0030171F">
        <w:t xml:space="preserve"> (levied per ML of water delivered)</w:t>
      </w:r>
      <w:r w:rsidR="009878B3">
        <w:t>.</w:t>
      </w:r>
    </w:p>
    <w:p w:rsidR="004B4265" w:rsidRDefault="00897AA5" w:rsidP="00897AA5">
      <w:r>
        <w:t xml:space="preserve">Buddah Lake’s operating and maintenance fee </w:t>
      </w:r>
      <w:r w:rsidR="0045450C">
        <w:t xml:space="preserve">includes the </w:t>
      </w:r>
      <w:r w:rsidR="004B4265">
        <w:t>recover</w:t>
      </w:r>
      <w:r w:rsidR="0045450C">
        <w:t>y of</w:t>
      </w:r>
      <w:r w:rsidR="004B4265">
        <w:t xml:space="preserve"> </w:t>
      </w:r>
      <w:r w:rsidR="0045450C">
        <w:t xml:space="preserve">fixed WaterNSW and DPI </w:t>
      </w:r>
      <w:r w:rsidR="00A22CCD">
        <w:t xml:space="preserve">Water </w:t>
      </w:r>
      <w:r w:rsidR="0045450C">
        <w:t xml:space="preserve">charges </w:t>
      </w:r>
      <w:r w:rsidR="004B4265">
        <w:t>imposed on Buddah Lake and passed through to its customers</w:t>
      </w:r>
      <w:r w:rsidR="0045450C">
        <w:t>, as well as costs for its own off-river operations.</w:t>
      </w:r>
    </w:p>
    <w:p w:rsidR="004B4265" w:rsidRDefault="0045450C" w:rsidP="004B4265">
      <w:r>
        <w:t xml:space="preserve">Similarly, </w:t>
      </w:r>
      <w:r w:rsidR="004B4265">
        <w:t xml:space="preserve">Buddah Lake’s water charge fee </w:t>
      </w:r>
      <w:r>
        <w:t xml:space="preserve">includes the </w:t>
      </w:r>
      <w:r w:rsidR="004B4265">
        <w:t>recover</w:t>
      </w:r>
      <w:r>
        <w:t>y</w:t>
      </w:r>
      <w:r w:rsidR="004B4265">
        <w:t xml:space="preserve"> </w:t>
      </w:r>
      <w:r>
        <w:t xml:space="preserve">of variable WaterNSW and DPI Water charges </w:t>
      </w:r>
      <w:r w:rsidR="004B4265">
        <w:t>imposed on Buddah Lake and passed through to its customers</w:t>
      </w:r>
      <w:r>
        <w:t>.</w:t>
      </w:r>
    </w:p>
    <w:p w:rsidR="00897AA5" w:rsidRDefault="00897AA5" w:rsidP="00897AA5">
      <w:r>
        <w:t xml:space="preserve">The hypothetical bill analysis makes the following assumptions to separate the WaterNSW and DPI </w:t>
      </w:r>
      <w:r w:rsidR="00512140">
        <w:t xml:space="preserve">Water </w:t>
      </w:r>
      <w:r>
        <w:t>charge components within each of the two relevant Buddah Lake charges.</w:t>
      </w:r>
    </w:p>
    <w:p w:rsidR="00F56737" w:rsidRDefault="00897AA5" w:rsidP="00DA47C0">
      <w:pPr>
        <w:pStyle w:val="Bulletpoint"/>
      </w:pPr>
      <w:r>
        <w:t xml:space="preserve">Operating and maintenance fee </w:t>
      </w:r>
      <w:r w:rsidR="00512140">
        <w:t xml:space="preserve">(OMF) </w:t>
      </w:r>
      <w:r w:rsidR="00AE3134">
        <w:t>–</w:t>
      </w:r>
      <w:r>
        <w:t xml:space="preserve"> </w:t>
      </w:r>
      <w:r w:rsidR="00AE3134">
        <w:t>the</w:t>
      </w:r>
      <w:r w:rsidR="00633487">
        <w:t xml:space="preserve"> fixed </w:t>
      </w:r>
      <w:r w:rsidR="00744D11">
        <w:t>OMF</w:t>
      </w:r>
      <w:r w:rsidR="00633487">
        <w:t xml:space="preserve"> is listed </w:t>
      </w:r>
      <w:r w:rsidR="00744D11">
        <w:t xml:space="preserve">in the schedule of charges </w:t>
      </w:r>
      <w:r w:rsidR="00633487">
        <w:t>as a monthly fee for a defined volume of water delivery right. To enable comparisons across IIOs, the fee was adjusted to a per ML per annum amount for inclusion in the IIO hypothetical bill. This occurred through converting the monthly charge to an annual one ($1450 monthly fee multiplied by 12 months = $17</w:t>
      </w:r>
      <w:r w:rsidR="00E72879">
        <w:t> </w:t>
      </w:r>
      <w:r w:rsidR="00633487">
        <w:t>40</w:t>
      </w:r>
      <w:r w:rsidR="004B4265">
        <w:t>0</w:t>
      </w:r>
      <w:r w:rsidR="00633487">
        <w:t>) and dividing it by the amount of water delivery rights to which the annual OMF charge relate</w:t>
      </w:r>
      <w:r w:rsidR="00744D11">
        <w:t>s</w:t>
      </w:r>
      <w:r w:rsidR="00633487">
        <w:t xml:space="preserve"> (</w:t>
      </w:r>
      <w:r w:rsidR="00AE3134">
        <w:t xml:space="preserve">the relevant volume of water delivery right is assumed to be </w:t>
      </w:r>
      <w:r w:rsidR="00633487">
        <w:t>1250 ML</w:t>
      </w:r>
      <w:r w:rsidR="00AE3134">
        <w:t xml:space="preserve">, </w:t>
      </w:r>
      <w:r w:rsidR="00633487">
        <w:t>based on previous Buddah Lake</w:t>
      </w:r>
      <w:r w:rsidR="00744D11">
        <w:t>’</w:t>
      </w:r>
      <w:r w:rsidR="00633487">
        <w:t>s Schedules of Charges). The OMF per ML of water delivery right is $13.92/ML</w:t>
      </w:r>
      <w:r w:rsidR="00744D11">
        <w:t>.</w:t>
      </w:r>
    </w:p>
    <w:p w:rsidR="00897AA5" w:rsidRPr="00081B94" w:rsidRDefault="00081B94" w:rsidP="00F90601">
      <w:pPr>
        <w:pStyle w:val="ListContinue"/>
      </w:pPr>
      <w:r>
        <w:br/>
      </w:r>
      <w:r w:rsidR="00633487" w:rsidRPr="00081B94">
        <w:t xml:space="preserve">The ACCC assumes that </w:t>
      </w:r>
      <w:r w:rsidR="00897AA5" w:rsidRPr="00081B94">
        <w:t xml:space="preserve">the actual WaterNSW </w:t>
      </w:r>
      <w:r w:rsidR="00633487" w:rsidRPr="00081B94">
        <w:t xml:space="preserve">($3.51/ML) </w:t>
      </w:r>
      <w:r w:rsidR="00897AA5" w:rsidRPr="00081B94">
        <w:t xml:space="preserve">and DPI </w:t>
      </w:r>
      <w:r w:rsidR="00512140" w:rsidRPr="00081B94">
        <w:t xml:space="preserve">Water </w:t>
      </w:r>
      <w:r w:rsidR="00897AA5" w:rsidRPr="00081B94">
        <w:t xml:space="preserve">fixed charges </w:t>
      </w:r>
      <w:r w:rsidR="00633487" w:rsidRPr="00081B94">
        <w:t xml:space="preserve">($1.98/ML) </w:t>
      </w:r>
      <w:r w:rsidR="00D10A99" w:rsidRPr="00081B94">
        <w:t xml:space="preserve">for the NSW Macquarie valley </w:t>
      </w:r>
      <w:r w:rsidR="00897AA5" w:rsidRPr="00081B94">
        <w:t xml:space="preserve">are fully passed through to Buddah Lake customers as part of the </w:t>
      </w:r>
      <w:r w:rsidR="00633487" w:rsidRPr="00081B94">
        <w:t>OMF</w:t>
      </w:r>
      <w:r w:rsidR="00897AA5" w:rsidRPr="00081B94">
        <w:t xml:space="preserve">. The difference between the sum of the actual WaterNSW and DPI </w:t>
      </w:r>
      <w:r w:rsidR="00512140" w:rsidRPr="00081B94">
        <w:t xml:space="preserve">Water </w:t>
      </w:r>
      <w:r w:rsidR="00897AA5" w:rsidRPr="00081B94">
        <w:t>fixed charges</w:t>
      </w:r>
      <w:r w:rsidR="00246C4B" w:rsidRPr="00081B94">
        <w:t xml:space="preserve"> ($5.49/ML)</w:t>
      </w:r>
      <w:r w:rsidR="00897AA5" w:rsidRPr="00081B94">
        <w:t xml:space="preserve">, and the total </w:t>
      </w:r>
      <w:r w:rsidR="00633487" w:rsidRPr="00081B94">
        <w:t>OMF</w:t>
      </w:r>
      <w:r w:rsidR="004B4265" w:rsidRPr="00081B94">
        <w:t xml:space="preserve"> per ML</w:t>
      </w:r>
      <w:r w:rsidR="00897AA5" w:rsidRPr="00081B94">
        <w:t xml:space="preserve"> </w:t>
      </w:r>
      <w:r w:rsidR="00246C4B" w:rsidRPr="00081B94">
        <w:t xml:space="preserve">($13.92/ML) </w:t>
      </w:r>
      <w:r w:rsidR="00897AA5" w:rsidRPr="00081B94">
        <w:t xml:space="preserve">is </w:t>
      </w:r>
      <w:r w:rsidR="00AE3134">
        <w:t>assumed to be</w:t>
      </w:r>
      <w:r w:rsidR="00897AA5" w:rsidRPr="00081B94">
        <w:t xml:space="preserve"> Buddah Lake’s fixed off-river infrastructure charge</w:t>
      </w:r>
      <w:r w:rsidR="00246C4B" w:rsidRPr="00081B94">
        <w:t xml:space="preserve"> ($8.43/ML)</w:t>
      </w:r>
      <w:r w:rsidR="00897AA5" w:rsidRPr="00081B94">
        <w:t>.</w:t>
      </w:r>
    </w:p>
    <w:p w:rsidR="00897AA5" w:rsidRDefault="00897AA5" w:rsidP="00DA47C0">
      <w:pPr>
        <w:pStyle w:val="Bulletpoint"/>
      </w:pPr>
      <w:r>
        <w:t xml:space="preserve">Water charge </w:t>
      </w:r>
      <w:r w:rsidR="00AE3134">
        <w:t>–</w:t>
      </w:r>
      <w:r>
        <w:t xml:space="preserve"> </w:t>
      </w:r>
      <w:r w:rsidR="00AE3134">
        <w:t>the</w:t>
      </w:r>
      <w:r w:rsidR="00512140">
        <w:t xml:space="preserve"> </w:t>
      </w:r>
      <w:r>
        <w:t xml:space="preserve">actual WaterNSW </w:t>
      </w:r>
      <w:r w:rsidR="00246C4B">
        <w:t xml:space="preserve">($15.89/ML) </w:t>
      </w:r>
      <w:r>
        <w:t xml:space="preserve">and DPI </w:t>
      </w:r>
      <w:r w:rsidR="00512140">
        <w:t xml:space="preserve">Water </w:t>
      </w:r>
      <w:r w:rsidR="00246C4B">
        <w:t xml:space="preserve">($1.90/ML) </w:t>
      </w:r>
      <w:r>
        <w:t xml:space="preserve">usage charges are fully passed through to Buddah Lake’s customers. The difference between the sum of the actual WaterNSW and DPI </w:t>
      </w:r>
      <w:r w:rsidR="00877AEB">
        <w:t xml:space="preserve">Water </w:t>
      </w:r>
      <w:r>
        <w:t xml:space="preserve">usage charges </w:t>
      </w:r>
      <w:r w:rsidR="00246C4B">
        <w:t xml:space="preserve">($17.79/ML) </w:t>
      </w:r>
      <w:r>
        <w:t xml:space="preserve">and the water charge </w:t>
      </w:r>
      <w:r w:rsidR="00246C4B">
        <w:t xml:space="preserve">($33.00/ML) </w:t>
      </w:r>
      <w:r>
        <w:t>is equivalent to Buddah Lake’s variable off-river infrastructure charge</w:t>
      </w:r>
      <w:r w:rsidR="00246C4B">
        <w:t xml:space="preserve"> ($15.21/ML)</w:t>
      </w:r>
      <w:r>
        <w:t>.</w:t>
      </w:r>
    </w:p>
    <w:p w:rsidR="00897AA5" w:rsidRDefault="00897AA5" w:rsidP="00897AA5">
      <w:pPr>
        <w:pStyle w:val="Heading4"/>
        <w:keepNext/>
      </w:pPr>
      <w:bookmarkStart w:id="197" w:name="_Toc418071397"/>
      <w:r>
        <w:t>Hypothetical termination fee</w:t>
      </w:r>
      <w:bookmarkEnd w:id="197"/>
    </w:p>
    <w:p w:rsidR="00897AA5" w:rsidRDefault="00897AA5" w:rsidP="00897AA5">
      <w:r>
        <w:t>The hypothetical termination fee is calculated assuming 250 ML of water delivery right is held, with either 50 or 100 per cent of this volume terminated.</w:t>
      </w:r>
    </w:p>
    <w:p w:rsidR="00897AA5" w:rsidRDefault="00897AA5" w:rsidP="00897AA5">
      <w:r>
        <w:t xml:space="preserve">The charge </w:t>
      </w:r>
      <w:r w:rsidR="00937A1B">
        <w:t>used for</w:t>
      </w:r>
      <w:r>
        <w:t xml:space="preserve"> the calculation of the hypothetical termination fee is the termination fee listed on Buddah Lake’s schedule of charges. The termination fee is slightly lower than ten times Buddah Lake’s </w:t>
      </w:r>
      <w:r w:rsidR="00246C4B">
        <w:t xml:space="preserve">fixed </w:t>
      </w:r>
      <w:r>
        <w:t xml:space="preserve">off-river infrastructure charge once WaterNSW and DPI </w:t>
      </w:r>
      <w:r w:rsidR="005313AB">
        <w:t xml:space="preserve">Water </w:t>
      </w:r>
      <w:r>
        <w:t>fixed charges are removed from the operating and maintenance charge listed on their schedule of charges.</w:t>
      </w:r>
    </w:p>
    <w:p w:rsidR="00897AA5" w:rsidRDefault="001C3657" w:rsidP="00897AA5">
      <w:pPr>
        <w:pStyle w:val="Heading4"/>
        <w:keepNext/>
      </w:pPr>
      <w:r>
        <w:lastRenderedPageBreak/>
        <w:t>2015−16</w:t>
      </w:r>
      <w:r w:rsidR="000A7A9B">
        <w:t xml:space="preserve"> </w:t>
      </w:r>
      <w:r w:rsidR="00897AA5">
        <w:t>Schedule of charges</w:t>
      </w:r>
    </w:p>
    <w:p w:rsidR="00897AA5" w:rsidRDefault="00452CB9" w:rsidP="00897AA5">
      <w:r w:rsidRPr="008A2F66">
        <w:t xml:space="preserve">As part of the </w:t>
      </w:r>
      <w:r>
        <w:t xml:space="preserve">ACCC’s </w:t>
      </w:r>
      <w:r w:rsidRPr="008A2F66">
        <w:t>request for information</w:t>
      </w:r>
      <w:r>
        <w:t xml:space="preserve">, </w:t>
      </w:r>
      <w:r w:rsidR="00897AA5" w:rsidRPr="008A2F66">
        <w:t xml:space="preserve">Buddah Lake provided </w:t>
      </w:r>
      <w:r>
        <w:t xml:space="preserve">the ACCC with a memo </w:t>
      </w:r>
      <w:r w:rsidR="002F2902">
        <w:t xml:space="preserve">(presented below), </w:t>
      </w:r>
      <w:r w:rsidR="005313AB">
        <w:t xml:space="preserve">that had been </w:t>
      </w:r>
      <w:r>
        <w:t xml:space="preserve">sent to its members which set out Buddah Lake’s charges for the </w:t>
      </w:r>
      <w:r w:rsidR="001C3657">
        <w:t>2015−16</w:t>
      </w:r>
      <w:r>
        <w:t xml:space="preserve"> financial year.</w:t>
      </w:r>
      <w:r w:rsidR="00740A14">
        <w:t xml:space="preserve"> </w:t>
      </w:r>
    </w:p>
    <w:bookmarkStart w:id="198" w:name="_Toc418071398"/>
    <w:bookmarkStart w:id="199" w:name="_Toc418495374"/>
    <w:bookmarkStart w:id="200" w:name="_Toc447900619"/>
    <w:p w:rsidR="005313AB" w:rsidRDefault="00260A71" w:rsidP="00260A71">
      <w:r>
        <w:object w:dxaOrig="9180" w:dyaOrig="11881">
          <v:shape id="_x0000_i1028" type="#_x0000_t75" alt="Buddah Lake Irrigators' Association Schedule of Charges, 2015-16, Applicable 1 January 2016 to 30 June 2016" style="width:460.4pt;height:594.25pt;mso-position-vertical:absolute" o:ole="">
            <v:imagedata r:id="rId96" o:title=""/>
          </v:shape>
          <o:OLEObject Type="Embed" ProgID="AcroExch.Document.11" ShapeID="_x0000_i1028" DrawAspect="Content" ObjectID="_1559126978" r:id="rId97"/>
        </w:object>
      </w:r>
    </w:p>
    <w:p w:rsidR="00897AA5" w:rsidRDefault="00897AA5" w:rsidP="00736EBA">
      <w:pPr>
        <w:pStyle w:val="Numbered111"/>
      </w:pPr>
      <w:bookmarkStart w:id="201" w:name="_Toc449693009"/>
      <w:bookmarkStart w:id="202" w:name="_Toc485303366"/>
      <w:r>
        <w:lastRenderedPageBreak/>
        <w:t>Trangie-Nevertire Irrigation Scheme (Trangie-Nevertire), NSW Macquarie</w:t>
      </w:r>
      <w:bookmarkEnd w:id="198"/>
      <w:bookmarkEnd w:id="199"/>
      <w:bookmarkEnd w:id="200"/>
      <w:bookmarkEnd w:id="201"/>
      <w:bookmarkEnd w:id="202"/>
    </w:p>
    <w:p w:rsidR="00897AA5" w:rsidRDefault="00897AA5" w:rsidP="00897AA5">
      <w:pPr>
        <w:pStyle w:val="Heading4"/>
        <w:keepNext/>
      </w:pPr>
      <w:bookmarkStart w:id="203" w:name="_Toc418071399"/>
      <w:r>
        <w:t>Off-river IO hypothetical bill</w:t>
      </w:r>
    </w:p>
    <w:bookmarkEnd w:id="203"/>
    <w:p w:rsidR="008E718D" w:rsidRDefault="008E718D" w:rsidP="00897AA5">
      <w:r>
        <w:t>Trangie-Nevertire is a joint water supply scheme, meaning that customers jointly hold a single water access entitlement (rather than the operator holding the entitlement and customers holding irrigation rights).</w:t>
      </w:r>
    </w:p>
    <w:p w:rsidR="00897AA5" w:rsidRDefault="00897AA5" w:rsidP="00897AA5">
      <w:r>
        <w:t>The analysis assumes one irrigator in the Trangie-Nevertire network who:</w:t>
      </w:r>
    </w:p>
    <w:p w:rsidR="00897AA5" w:rsidRDefault="00897AA5" w:rsidP="00DA47C0">
      <w:pPr>
        <w:pStyle w:val="Bulletpoint"/>
      </w:pPr>
      <w:r>
        <w:t xml:space="preserve">holds a specific share of water access entitlement (50 ML, 250 ML or 1000 ML) </w:t>
      </w:r>
    </w:p>
    <w:p w:rsidR="00897AA5" w:rsidRDefault="00897AA5" w:rsidP="00DA47C0">
      <w:pPr>
        <w:pStyle w:val="Bulletpoint"/>
      </w:pPr>
      <w:r>
        <w:t>holds an equivalent amount of water delivery right (50 ML, 250 ML or 1000 ML, respectively) and</w:t>
      </w:r>
    </w:p>
    <w:p w:rsidR="00897AA5" w:rsidRDefault="00897AA5" w:rsidP="00DA47C0">
      <w:pPr>
        <w:pStyle w:val="Bulletpoint"/>
      </w:pPr>
      <w:r>
        <w:t>does not incur supplementary water or contract pumping surcharges.</w:t>
      </w:r>
    </w:p>
    <w:p w:rsidR="00897AA5" w:rsidRDefault="00897AA5" w:rsidP="00897AA5">
      <w:r>
        <w:t xml:space="preserve">The </w:t>
      </w:r>
      <w:r w:rsidR="001C3657">
        <w:t>2015−16</w:t>
      </w:r>
      <w:r>
        <w:t xml:space="preserve"> hypothetical bill analysis for Trangie-Nevertire includes the following charges listed on Trangie-Nevertire’s schedule of charges.</w:t>
      </w:r>
    </w:p>
    <w:p w:rsidR="00897AA5" w:rsidRDefault="00897AA5" w:rsidP="00897AA5">
      <w:r>
        <w:t>Fixed:</w:t>
      </w:r>
    </w:p>
    <w:p w:rsidR="00897AA5" w:rsidRDefault="00897AA5" w:rsidP="00DA47C0">
      <w:pPr>
        <w:pStyle w:val="Bulletpoint"/>
      </w:pPr>
      <w:r>
        <w:t>operating and maintenance</w:t>
      </w:r>
      <w:r w:rsidR="004E13D6">
        <w:t xml:space="preserve"> (levied per ML of ‘delivery entitlement’ (water delivery right) held)</w:t>
      </w:r>
    </w:p>
    <w:p w:rsidR="00897AA5" w:rsidRDefault="00897AA5" w:rsidP="00DA47C0">
      <w:pPr>
        <w:pStyle w:val="Bulletpoint"/>
      </w:pPr>
      <w:r>
        <w:t xml:space="preserve">State Water </w:t>
      </w:r>
      <w:r w:rsidR="0001611A">
        <w:t>&amp;</w:t>
      </w:r>
      <w:r>
        <w:t xml:space="preserve"> N</w:t>
      </w:r>
      <w:r w:rsidR="000A7A9B">
        <w:t>O</w:t>
      </w:r>
      <w:r>
        <w:t>W</w:t>
      </w:r>
      <w:r w:rsidR="000A7A9B">
        <w:t xml:space="preserve"> (</w:t>
      </w:r>
      <w:r w:rsidR="0001611A">
        <w:t xml:space="preserve">WaterNSW &amp; </w:t>
      </w:r>
      <w:r w:rsidR="000A7A9B">
        <w:t>DPI</w:t>
      </w:r>
      <w:r w:rsidR="00512140">
        <w:t xml:space="preserve"> Water</w:t>
      </w:r>
      <w:r w:rsidR="000A7A9B">
        <w:t>)</w:t>
      </w:r>
      <w:r>
        <w:t xml:space="preserve"> fixed charge</w:t>
      </w:r>
      <w:r w:rsidR="004E13D6">
        <w:t xml:space="preserve"> (levied per ML of water access licence share held)</w:t>
      </w:r>
    </w:p>
    <w:p w:rsidR="00897AA5" w:rsidRDefault="00897AA5" w:rsidP="00897AA5">
      <w:r>
        <w:t>Variable:</w:t>
      </w:r>
    </w:p>
    <w:p w:rsidR="00897AA5" w:rsidRDefault="00897AA5" w:rsidP="00DA47C0">
      <w:pPr>
        <w:pStyle w:val="Bulletpoint"/>
      </w:pPr>
      <w:r>
        <w:t>TNIS pumping charge</w:t>
      </w:r>
      <w:r w:rsidR="004E13D6">
        <w:t xml:space="preserve"> (levied per ML of water delivered ‘at farm gate’)</w:t>
      </w:r>
      <w:r w:rsidR="004E13D6">
        <w:rPr>
          <w:rStyle w:val="FootnoteReference"/>
        </w:rPr>
        <w:footnoteReference w:id="62"/>
      </w:r>
      <w:r w:rsidR="004E13D6">
        <w:t xml:space="preserve"> </w:t>
      </w:r>
    </w:p>
    <w:p w:rsidR="00897AA5" w:rsidRDefault="00897AA5" w:rsidP="00DA47C0">
      <w:pPr>
        <w:pStyle w:val="Bulletpoint"/>
      </w:pPr>
      <w:r>
        <w:t>State Water usage charge</w:t>
      </w:r>
      <w:r w:rsidR="004E13D6">
        <w:t xml:space="preserve"> (levied per ML of water delivered ‘at farm gate’)</w:t>
      </w:r>
      <w:r w:rsidR="00F80AB3">
        <w:t>.</w:t>
      </w:r>
    </w:p>
    <w:p w:rsidR="00657EA7" w:rsidRDefault="00657EA7" w:rsidP="00897AA5">
      <w:r>
        <w:t>The hypothetical bill analysis makes the following assumptions:</w:t>
      </w:r>
    </w:p>
    <w:p w:rsidR="00657EA7" w:rsidRDefault="00657EA7" w:rsidP="00DA47C0">
      <w:pPr>
        <w:pStyle w:val="Bulletpoint"/>
      </w:pPr>
      <w:r>
        <w:t xml:space="preserve">a fixed charge per ML of </w:t>
      </w:r>
      <w:r w:rsidR="00740A14">
        <w:t xml:space="preserve">delivery entitlement (i.e. </w:t>
      </w:r>
      <w:r>
        <w:t>water delivery right</w:t>
      </w:r>
      <w:r w:rsidR="00740A14">
        <w:t>)</w:t>
      </w:r>
      <w:r>
        <w:t xml:space="preserve"> as set out in Trangie-Nevertire’s schedule of charges ($14.51/ML per annum).</w:t>
      </w:r>
    </w:p>
    <w:p w:rsidR="00657EA7" w:rsidRDefault="00657EA7" w:rsidP="00DA47C0">
      <w:pPr>
        <w:pStyle w:val="Bulletpoint"/>
      </w:pPr>
      <w:r>
        <w:t xml:space="preserve">the State Water and NOW charge $5.49/ML of water delivery right divided into the regulated WaterNSW (previously State Water) and DPI </w:t>
      </w:r>
      <w:r w:rsidR="00F80AB3">
        <w:t xml:space="preserve">Water </w:t>
      </w:r>
      <w:r>
        <w:t>(previously NOW) charges</w:t>
      </w:r>
      <w:r w:rsidR="002A3CDB">
        <w:t xml:space="preserve"> for the Macquarie valley</w:t>
      </w:r>
      <w:r>
        <w:t xml:space="preserve">, $3.51/ML and $1.98/ML respectively.  </w:t>
      </w:r>
    </w:p>
    <w:p w:rsidR="00657EA7" w:rsidRDefault="00657EA7" w:rsidP="00DA47C0">
      <w:pPr>
        <w:pStyle w:val="Bulletpoint"/>
      </w:pPr>
      <w:r>
        <w:t>a usage charge (TNIS pumping charge</w:t>
      </w:r>
      <w:r w:rsidR="00B85A31">
        <w:t>, ‘at farm gate’</w:t>
      </w:r>
      <w:r>
        <w:t>) of $</w:t>
      </w:r>
      <w:r w:rsidR="00B85A31">
        <w:t>18.78</w:t>
      </w:r>
      <w:r>
        <w:t>/ML.</w:t>
      </w:r>
    </w:p>
    <w:p w:rsidR="00897AA5" w:rsidRDefault="00657EA7" w:rsidP="00DA47C0">
      <w:pPr>
        <w:pStyle w:val="Bulletpoint"/>
      </w:pPr>
      <w:r>
        <w:t xml:space="preserve">a division of the State Water usage charge </w:t>
      </w:r>
      <w:r w:rsidR="00B85A31">
        <w:t xml:space="preserve">at farm gate </w:t>
      </w:r>
      <w:r>
        <w:t>($</w:t>
      </w:r>
      <w:r w:rsidR="00B85A31">
        <w:t>20.22</w:t>
      </w:r>
      <w:r>
        <w:t xml:space="preserve">/ML) into WaterNSW and DPI </w:t>
      </w:r>
      <w:r w:rsidR="005F0DF6">
        <w:t xml:space="preserve">Water </w:t>
      </w:r>
      <w:r w:rsidR="00B85A31">
        <w:t>components</w:t>
      </w:r>
      <w:r>
        <w:t xml:space="preserve">. These are </w:t>
      </w:r>
      <w:r w:rsidR="00B85A31">
        <w:t xml:space="preserve">based on </w:t>
      </w:r>
      <w:r>
        <w:t>the regulated charges for WaterNSW in the Macquarie valley</w:t>
      </w:r>
      <w:r w:rsidR="00246C4B">
        <w:t xml:space="preserve"> (</w:t>
      </w:r>
      <w:r>
        <w:t>$15.89/ML</w:t>
      </w:r>
      <w:r w:rsidR="00246C4B">
        <w:t xml:space="preserve">) </w:t>
      </w:r>
      <w:r w:rsidR="00CD1266">
        <w:t xml:space="preserve">and for </w:t>
      </w:r>
      <w:r>
        <w:t xml:space="preserve">DPI </w:t>
      </w:r>
      <w:r w:rsidR="005F0DF6">
        <w:t xml:space="preserve">Water </w:t>
      </w:r>
      <w:r w:rsidR="00CD1266">
        <w:t>($1.90/ML)</w:t>
      </w:r>
      <w:r w:rsidR="00B85A31">
        <w:t xml:space="preserve">, </w:t>
      </w:r>
      <w:r w:rsidR="004E13D6">
        <w:t>‘</w:t>
      </w:r>
      <w:r w:rsidR="00B85A31">
        <w:t>grossed up to</w:t>
      </w:r>
      <w:r w:rsidR="004E13D6">
        <w:t>’</w:t>
      </w:r>
      <w:r w:rsidR="00B85A31">
        <w:t xml:space="preserve"> account for the distribution losses allowed for </w:t>
      </w:r>
      <w:r w:rsidR="004E13D6">
        <w:t xml:space="preserve">in </w:t>
      </w:r>
      <w:r w:rsidR="00B85A31">
        <w:t>Trangie-Nevertire’s charges</w:t>
      </w:r>
      <w:r>
        <w:t>.</w:t>
      </w:r>
      <w:r w:rsidR="00897AA5">
        <w:t xml:space="preserve"> </w:t>
      </w:r>
    </w:p>
    <w:p w:rsidR="00897AA5" w:rsidRDefault="00897AA5" w:rsidP="00897AA5">
      <w:pPr>
        <w:pStyle w:val="Heading4"/>
        <w:keepNext/>
      </w:pPr>
      <w:bookmarkStart w:id="204" w:name="_Toc418071400"/>
      <w:r>
        <w:t>Hypothetical termination fee</w:t>
      </w:r>
      <w:bookmarkEnd w:id="204"/>
    </w:p>
    <w:p w:rsidR="00897AA5" w:rsidRDefault="00897AA5" w:rsidP="00897AA5">
      <w:r>
        <w:t xml:space="preserve">The hypothetical termination fee is calculated assuming 250 ML of water delivery right is held, with either 50 or 100 per cent of this volume terminated. </w:t>
      </w:r>
    </w:p>
    <w:p w:rsidR="00897AA5" w:rsidRDefault="00897AA5" w:rsidP="00897AA5">
      <w:r>
        <w:t xml:space="preserve">The separately listed termination fee on Trangie-Nevertire’s schedule of charges is </w:t>
      </w:r>
      <w:r w:rsidR="000A7A9B">
        <w:t xml:space="preserve">used </w:t>
      </w:r>
      <w:r w:rsidR="00BE443F">
        <w:t xml:space="preserve">for </w:t>
      </w:r>
      <w:r>
        <w:t>the hypothetical termination fee analysis.</w:t>
      </w:r>
    </w:p>
    <w:p w:rsidR="00897AA5" w:rsidRDefault="001C3657" w:rsidP="00897AA5">
      <w:pPr>
        <w:pStyle w:val="Heading4"/>
        <w:keepNext/>
      </w:pPr>
      <w:r>
        <w:lastRenderedPageBreak/>
        <w:t>2015−16</w:t>
      </w:r>
      <w:r w:rsidR="000A7A9B">
        <w:t xml:space="preserve"> </w:t>
      </w:r>
      <w:r w:rsidR="00897AA5">
        <w:t>Schedule of charges</w:t>
      </w:r>
    </w:p>
    <w:p w:rsidR="00897AA5" w:rsidRDefault="00897AA5" w:rsidP="00897AA5">
      <w:r>
        <w:t xml:space="preserve">The ACCC sourced Trangie-Nevertire’s schedule of charges from its </w:t>
      </w:r>
      <w:r w:rsidR="0051686D">
        <w:t>website:</w:t>
      </w:r>
      <w:r>
        <w:t xml:space="preserve"> </w:t>
      </w:r>
      <w:hyperlink r:id="rId98" w:history="1">
        <w:r w:rsidRPr="000E7166">
          <w:rPr>
            <w:rStyle w:val="Hyperlink"/>
          </w:rPr>
          <w:t>http://www.tnis.net.au/charges</w:t>
        </w:r>
      </w:hyperlink>
      <w:r>
        <w:t xml:space="preserve">. </w:t>
      </w:r>
    </w:p>
    <w:p w:rsidR="00897AA5" w:rsidRDefault="008A0877" w:rsidP="00897AA5">
      <w:r>
        <w:rPr>
          <w:noProof/>
          <w:lang w:eastAsia="en-AU"/>
        </w:rPr>
        <w:lastRenderedPageBreak/>
        <w:drawing>
          <wp:inline distT="0" distB="0" distL="0" distR="0" wp14:anchorId="3C1F4321" wp14:editId="165F1977">
            <wp:extent cx="5606415" cy="8229600"/>
            <wp:effectExtent l="0" t="0" r="0" b="0"/>
            <wp:docPr id="37" name="Picture 1" descr="Schedule of Charges of Trangie-Nevertire Irrigation Scheme used by the ACCC to prepare hypothetical bills for the 2015-16 water year." title="Trangie-Nevertire Irrigation Scheme Schedule of Charg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9"/>
                    <a:stretch>
                      <a:fillRect/>
                    </a:stretch>
                  </pic:blipFill>
                  <pic:spPr>
                    <a:xfrm>
                      <a:off x="0" y="0"/>
                      <a:ext cx="5606415" cy="8229600"/>
                    </a:xfrm>
                    <a:prstGeom prst="rect">
                      <a:avLst/>
                    </a:prstGeom>
                  </pic:spPr>
                </pic:pic>
              </a:graphicData>
            </a:graphic>
          </wp:inline>
        </w:drawing>
      </w:r>
    </w:p>
    <w:p w:rsidR="00897AA5" w:rsidRDefault="00897AA5" w:rsidP="00736EBA">
      <w:pPr>
        <w:pStyle w:val="Numbered111"/>
      </w:pPr>
      <w:bookmarkStart w:id="205" w:name="_Toc418071401"/>
      <w:bookmarkStart w:id="206" w:name="_Toc418495375"/>
      <w:bookmarkStart w:id="207" w:name="_Toc447900620"/>
      <w:bookmarkStart w:id="208" w:name="_Toc449693010"/>
      <w:bookmarkStart w:id="209" w:name="_Toc485303367"/>
      <w:r>
        <w:lastRenderedPageBreak/>
        <w:t>Tenandra Irrigation Scheme (Tenandra), NSW Macquarie</w:t>
      </w:r>
      <w:bookmarkEnd w:id="205"/>
      <w:bookmarkEnd w:id="206"/>
      <w:bookmarkEnd w:id="207"/>
      <w:bookmarkEnd w:id="208"/>
      <w:bookmarkEnd w:id="209"/>
    </w:p>
    <w:p w:rsidR="00897AA5" w:rsidRPr="0060427D" w:rsidRDefault="00897AA5" w:rsidP="00897AA5">
      <w:pPr>
        <w:pStyle w:val="Heading4"/>
        <w:keepNext/>
      </w:pPr>
      <w:bookmarkStart w:id="210" w:name="_Toc418071402"/>
      <w:r w:rsidRPr="0060427D">
        <w:t>Off-river IO hypothetical bill</w:t>
      </w:r>
    </w:p>
    <w:bookmarkEnd w:id="210"/>
    <w:p w:rsidR="008E718D" w:rsidRDefault="008E718D" w:rsidP="008E718D">
      <w:r>
        <w:t>Tenandra is a joint water supply scheme, meaning that customers jointly hold a single water access entitlement (rather than the operator holding the entitlement and customers holding irrigation rights).</w:t>
      </w:r>
    </w:p>
    <w:p w:rsidR="00897AA5" w:rsidRPr="0060427D" w:rsidRDefault="00897AA5" w:rsidP="00897AA5">
      <w:r w:rsidRPr="0060427D">
        <w:t xml:space="preserve">The analysis assumes one irrigator in Tenandra’s network who: </w:t>
      </w:r>
    </w:p>
    <w:p w:rsidR="00897AA5" w:rsidRPr="0060427D" w:rsidRDefault="00897AA5" w:rsidP="00DA47C0">
      <w:pPr>
        <w:pStyle w:val="Bulletpoint"/>
      </w:pPr>
      <w:r w:rsidRPr="0060427D">
        <w:t xml:space="preserve">holds a specific share of water access entitlement (50 ML, 250 ML or 1000 ML) and </w:t>
      </w:r>
    </w:p>
    <w:p w:rsidR="00897AA5" w:rsidRPr="0060427D" w:rsidRDefault="00897AA5" w:rsidP="00DA47C0">
      <w:pPr>
        <w:pStyle w:val="Bulletpoint"/>
      </w:pPr>
      <w:r w:rsidRPr="0060427D">
        <w:t>holds an equivalent amount of water delivery right (50 ML, 250 ML or 1000 ML, respectively).</w:t>
      </w:r>
    </w:p>
    <w:p w:rsidR="00DA181B" w:rsidRDefault="00DA181B" w:rsidP="00DA181B">
      <w:r>
        <w:t>In 2015−16, Tenandra completed a major upgrade of its off-river infrastructure, and chose to substantially change its charging arrangements to reflect this. This resulted in two schedules of charges being applied in the 2015−16 water year. To prepare hypothetical bills for the 2015−16 water year, the ACCC added together charges payable under both schedules, as follows:</w:t>
      </w:r>
    </w:p>
    <w:p w:rsidR="001039B4" w:rsidRDefault="00B23562" w:rsidP="00DA47C0">
      <w:pPr>
        <w:pStyle w:val="Bulletpoint"/>
      </w:pPr>
      <w:r>
        <w:t xml:space="preserve">from </w:t>
      </w:r>
      <w:r w:rsidR="0022760D">
        <w:t xml:space="preserve">1 </w:t>
      </w:r>
      <w:r>
        <w:t>Ju</w:t>
      </w:r>
      <w:r w:rsidR="0022760D">
        <w:t>ly</w:t>
      </w:r>
      <w:r>
        <w:t xml:space="preserve"> 2015 to 31 December 2015, Tenandra continued to </w:t>
      </w:r>
      <w:r w:rsidR="001039B4">
        <w:t xml:space="preserve">levy charges as per </w:t>
      </w:r>
      <w:r>
        <w:t xml:space="preserve">the schedule of charges </w:t>
      </w:r>
      <w:r w:rsidR="001039B4">
        <w:t xml:space="preserve">which </w:t>
      </w:r>
      <w:r>
        <w:t>applied from 1 July 2014 (</w:t>
      </w:r>
      <w:r w:rsidR="001039B4">
        <w:t>‘</w:t>
      </w:r>
      <w:r>
        <w:t>First Schedule</w:t>
      </w:r>
      <w:r w:rsidR="001039B4">
        <w:t>’</w:t>
      </w:r>
      <w:r>
        <w:t>)</w:t>
      </w:r>
      <w:r w:rsidR="00DA181B">
        <w:t xml:space="preserve">. </w:t>
      </w:r>
      <w:r w:rsidR="001039B4">
        <w:t>Charges included in hypothetical bills for this period were:</w:t>
      </w:r>
    </w:p>
    <w:p w:rsidR="001039B4" w:rsidRDefault="00B23562" w:rsidP="00F90601">
      <w:pPr>
        <w:pStyle w:val="Bulletpoint2"/>
      </w:pPr>
      <w:r>
        <w:t>the operating and maintenance fee (</w:t>
      </w:r>
      <w:r w:rsidR="001039B4">
        <w:t>levied per ML of water delivery right held</w:t>
      </w:r>
      <w:r>
        <w:t xml:space="preserve">) </w:t>
      </w:r>
    </w:p>
    <w:p w:rsidR="00B23562" w:rsidRDefault="00B23562" w:rsidP="00F90601">
      <w:pPr>
        <w:pStyle w:val="Bulletpoint2"/>
      </w:pPr>
      <w:r>
        <w:t>water pumping fee</w:t>
      </w:r>
      <w:r w:rsidR="00724563">
        <w:t xml:space="preserve"> (</w:t>
      </w:r>
      <w:r w:rsidR="001039B4">
        <w:t>levied per ML of water delivered</w:t>
      </w:r>
      <w:r w:rsidR="00724563">
        <w:t>)</w:t>
      </w:r>
      <w:r>
        <w:t>.</w:t>
      </w:r>
    </w:p>
    <w:p w:rsidR="001039B4" w:rsidRDefault="00DA181B" w:rsidP="00DA47C0">
      <w:pPr>
        <w:pStyle w:val="Bulletpoint"/>
      </w:pPr>
      <w:r>
        <w:t>from 1 January 2016 to 30 June 2016, Tenandra levied charges according to a new schedule of charges (‘Second Schedule’)</w:t>
      </w:r>
      <w:r w:rsidR="00BA4B01">
        <w:t>,</w:t>
      </w:r>
      <w:r>
        <w:t xml:space="preserve"> </w:t>
      </w:r>
      <w:r w:rsidR="00BA4B01">
        <w:t xml:space="preserve">which </w:t>
      </w:r>
      <w:r>
        <w:t xml:space="preserve">differed substantially from the First Schedule. </w:t>
      </w:r>
      <w:r w:rsidR="001039B4">
        <w:t>Charges included in hypothetical bills for this period were:</w:t>
      </w:r>
    </w:p>
    <w:p w:rsidR="001039B4" w:rsidRDefault="00B23562" w:rsidP="00F90601">
      <w:pPr>
        <w:pStyle w:val="Bulletpoint2"/>
      </w:pPr>
      <w:r>
        <w:t>the operating and maintenance fee – Bottom scheme (</w:t>
      </w:r>
      <w:r w:rsidR="00DA181B">
        <w:t>levied per ‘delivery share’ held (see below)</w:t>
      </w:r>
      <w:r w:rsidR="001039B4">
        <w:t>)</w:t>
      </w:r>
    </w:p>
    <w:p w:rsidR="001039B4" w:rsidRDefault="00B23562" w:rsidP="00F90601">
      <w:pPr>
        <w:pStyle w:val="Bulletpoint2"/>
      </w:pPr>
      <w:r>
        <w:t>outlet fee (</w:t>
      </w:r>
      <w:r w:rsidR="001039B4">
        <w:t>levied per outlet</w:t>
      </w:r>
      <w:r>
        <w:t>)</w:t>
      </w:r>
      <w:r w:rsidR="004C2DE6">
        <w:t xml:space="preserve"> </w:t>
      </w:r>
    </w:p>
    <w:p w:rsidR="001039B4" w:rsidRDefault="00B23562" w:rsidP="00F90601">
      <w:pPr>
        <w:pStyle w:val="Bulletpoint2"/>
      </w:pPr>
      <w:r>
        <w:t xml:space="preserve">outlet usage </w:t>
      </w:r>
      <w:r w:rsidR="00A63197">
        <w:t>fee (</w:t>
      </w:r>
      <w:r w:rsidR="001039B4">
        <w:t xml:space="preserve">levied per </w:t>
      </w:r>
      <w:r w:rsidR="00DA181B">
        <w:t>outlet used each year</w:t>
      </w:r>
      <w:r w:rsidR="00A63197">
        <w:t>)</w:t>
      </w:r>
      <w:r w:rsidR="004C2DE6">
        <w:t xml:space="preserve"> </w:t>
      </w:r>
    </w:p>
    <w:p w:rsidR="001039B4" w:rsidRDefault="00B55722" w:rsidP="00F90601">
      <w:pPr>
        <w:pStyle w:val="Bulletpoint2"/>
      </w:pPr>
      <w:r>
        <w:t xml:space="preserve">pumping charge </w:t>
      </w:r>
      <w:r w:rsidR="004C2DE6">
        <w:t>(</w:t>
      </w:r>
      <w:r w:rsidR="001039B4">
        <w:t>levied per ML of water delivered</w:t>
      </w:r>
      <w:r w:rsidR="00DA181B">
        <w:t xml:space="preserve">; </w:t>
      </w:r>
      <w:r w:rsidR="001039B4">
        <w:t>not shown on the Second Schedule</w:t>
      </w:r>
      <w:r w:rsidR="00DA181B">
        <w:t>,</w:t>
      </w:r>
      <w:r w:rsidR="001039B4">
        <w:t xml:space="preserve"> however</w:t>
      </w:r>
      <w:r w:rsidR="001039B4" w:rsidRPr="001039B4">
        <w:t xml:space="preserve"> </w:t>
      </w:r>
      <w:r w:rsidR="001039B4">
        <w:t>Tenandra advised that it continued to apply as per the First Schedule)</w:t>
      </w:r>
    </w:p>
    <w:p w:rsidR="00A63197" w:rsidRDefault="004C2DE6" w:rsidP="00F90601">
      <w:pPr>
        <w:pStyle w:val="Bulletpoint2"/>
      </w:pPr>
      <w:r>
        <w:t xml:space="preserve">WaterNSW and DPI Water fixed charges </w:t>
      </w:r>
      <w:r w:rsidR="001039B4">
        <w:t>(</w:t>
      </w:r>
      <w:r w:rsidR="00DA181B">
        <w:t xml:space="preserve">levied per ML of share of water access entitlement held; </w:t>
      </w:r>
      <w:r w:rsidR="001039B4">
        <w:t>not shown on the Second Schedule</w:t>
      </w:r>
      <w:r w:rsidR="00DA181B">
        <w:t>,</w:t>
      </w:r>
      <w:r w:rsidR="001039B4">
        <w:t xml:space="preserve"> however </w:t>
      </w:r>
      <w:r w:rsidR="00ED72A3">
        <w:t>e</w:t>
      </w:r>
      <w:r>
        <w:t xml:space="preserve">xamination of actual irrigator bills </w:t>
      </w:r>
      <w:r w:rsidR="00ED72A3">
        <w:t>shows</w:t>
      </w:r>
      <w:r>
        <w:t xml:space="preserve"> that these are listed separately on these bills</w:t>
      </w:r>
      <w:r w:rsidR="00ED72A3">
        <w:t>,</w:t>
      </w:r>
      <w:r w:rsidR="00ED72A3" w:rsidRPr="00ED72A3">
        <w:t xml:space="preserve"> </w:t>
      </w:r>
      <w:r w:rsidR="00ED72A3" w:rsidRPr="0022760D">
        <w:t xml:space="preserve">rather than being incorporated in Tenandra’s fixed charge as </w:t>
      </w:r>
      <w:r w:rsidR="001039B4">
        <w:t>in previous tariff structures)</w:t>
      </w:r>
      <w:r>
        <w:t>.</w:t>
      </w:r>
    </w:p>
    <w:p w:rsidR="00BA2B74" w:rsidRDefault="00BA2B74" w:rsidP="003F1051">
      <w:r>
        <w:t xml:space="preserve">Under the Second Schedule, the ‘operating and maintenance fee – Bottom scheme’ is levied ‘per delivery share’. </w:t>
      </w:r>
      <w:r w:rsidR="00ED30C3">
        <w:t>Tenandra advised that 1 delivery share entitles a customer to have 20 ML of water delivered each year. As such, the ACCC has applied a conversion factor of 1:20 (=0.05) to convert fixed charges from ‘$ per delivery share’ to ‘$ per ML of water delivery right held’.</w:t>
      </w:r>
    </w:p>
    <w:p w:rsidR="00A9531A" w:rsidRPr="0060427D" w:rsidRDefault="00A9531A" w:rsidP="003F1051">
      <w:r>
        <w:t xml:space="preserve">For each </w:t>
      </w:r>
      <w:r w:rsidR="001039B4">
        <w:t xml:space="preserve">bill </w:t>
      </w:r>
      <w:r>
        <w:t xml:space="preserve">calculated, half of the hypothetical bill calculated from </w:t>
      </w:r>
      <w:r w:rsidR="003F69E9">
        <w:t>using the First Schedule</w:t>
      </w:r>
      <w:r>
        <w:t xml:space="preserve"> is added to </w:t>
      </w:r>
      <w:r w:rsidR="003F69E9">
        <w:t xml:space="preserve">half of </w:t>
      </w:r>
      <w:r>
        <w:t>the hypothetical bill calculated fr</w:t>
      </w:r>
      <w:r w:rsidR="00BF3323">
        <w:t>om</w:t>
      </w:r>
      <w:r>
        <w:t xml:space="preserve"> </w:t>
      </w:r>
      <w:r w:rsidR="003F69E9">
        <w:t>using the Second Schedule (i.e. taking a weighted average of both</w:t>
      </w:r>
      <w:r w:rsidR="00BA4B01">
        <w:t xml:space="preserve"> bills</w:t>
      </w:r>
      <w:r w:rsidR="003F69E9">
        <w:t>, where the weight is 0.5 for each)</w:t>
      </w:r>
      <w:r w:rsidR="001C750D">
        <w:t>.</w:t>
      </w:r>
    </w:p>
    <w:p w:rsidR="00A63197" w:rsidRDefault="00BA4B01">
      <w:r>
        <w:t>For</w:t>
      </w:r>
      <w:r w:rsidR="00A63197">
        <w:t xml:space="preserve"> the calculation of the WaterNSW and DPI Water charges</w:t>
      </w:r>
      <w:r>
        <w:t xml:space="preserve"> passed through to customers</w:t>
      </w:r>
      <w:r w:rsidR="00A63197">
        <w:t>:</w:t>
      </w:r>
    </w:p>
    <w:p w:rsidR="00A63197" w:rsidRDefault="00A63197" w:rsidP="00DA47C0">
      <w:pPr>
        <w:pStyle w:val="Bulletpoint"/>
      </w:pPr>
      <w:r>
        <w:t>for the First Schedule</w:t>
      </w:r>
      <w:r w:rsidR="00433158">
        <w:t>:</w:t>
      </w:r>
    </w:p>
    <w:p w:rsidR="00A63197" w:rsidRPr="00DA181B" w:rsidRDefault="00A63197" w:rsidP="00F90601">
      <w:pPr>
        <w:pStyle w:val="Bulletpoint2"/>
      </w:pPr>
      <w:r w:rsidRPr="00DA181B">
        <w:lastRenderedPageBreak/>
        <w:t xml:space="preserve">the ACCC assumed that Tenandra’s (fixed) operating and maintenance fee ($17.00/ML) recovered both WaterNSW ($3.51/ML) and DPI Water ($1.98/ML) fixed charges. The </w:t>
      </w:r>
      <w:r w:rsidR="0030365F" w:rsidRPr="00DA181B">
        <w:t>ACCC assume</w:t>
      </w:r>
      <w:r w:rsidR="003F69E9">
        <w:t>d</w:t>
      </w:r>
      <w:r w:rsidR="0030365F" w:rsidRPr="00DA181B">
        <w:t xml:space="preserve"> the </w:t>
      </w:r>
      <w:r w:rsidRPr="00DA181B">
        <w:t>difference between the sum of these two government charges and the operating and maintenance fee is Tenandra’s fixed off</w:t>
      </w:r>
      <w:r w:rsidR="00DA181B" w:rsidRPr="00DA181B">
        <w:noBreakHyphen/>
      </w:r>
      <w:r w:rsidRPr="00DA181B">
        <w:t>river infrastructure charge ($11.51/ML).</w:t>
      </w:r>
    </w:p>
    <w:p w:rsidR="0030365F" w:rsidRDefault="00A63197" w:rsidP="00F90601">
      <w:pPr>
        <w:pStyle w:val="Bulletpoint2"/>
      </w:pPr>
      <w:r w:rsidRPr="00DA181B">
        <w:t xml:space="preserve">the ACCC assumed that Tenandra’s water pumping fee ($33/ML) recovered </w:t>
      </w:r>
      <w:r w:rsidR="0030365F" w:rsidRPr="00DA181B">
        <w:t>bo</w:t>
      </w:r>
      <w:r w:rsidRPr="00DA181B">
        <w:t>th WaterNSW</w:t>
      </w:r>
      <w:r w:rsidR="0030365F" w:rsidRPr="00DA181B">
        <w:t xml:space="preserve"> ($15.89/ML) and DPI Water ($1.90/ML) variable charges. The ACCC assume</w:t>
      </w:r>
      <w:r w:rsidR="003F69E9">
        <w:t>d</w:t>
      </w:r>
      <w:r w:rsidR="0030365F" w:rsidRPr="00DA181B">
        <w:t xml:space="preserve"> the difference between the sum of these two government charges and the water pumping</w:t>
      </w:r>
      <w:r w:rsidR="0030365F">
        <w:t xml:space="preserve"> fee is Tenandra’s variable off-river infrastructure charge ($15.21/ML).</w:t>
      </w:r>
    </w:p>
    <w:p w:rsidR="0030365F" w:rsidRDefault="0030365F" w:rsidP="00DA47C0">
      <w:pPr>
        <w:pStyle w:val="Bulletpoint"/>
      </w:pPr>
      <w:r>
        <w:t>for the Second Schedule</w:t>
      </w:r>
      <w:r w:rsidR="00DA181B">
        <w:t>:</w:t>
      </w:r>
    </w:p>
    <w:p w:rsidR="0022760D" w:rsidRPr="00DA181B" w:rsidRDefault="00DA181B" w:rsidP="00F90601">
      <w:pPr>
        <w:pStyle w:val="Bulletpoint2"/>
      </w:pPr>
      <w:r>
        <w:t xml:space="preserve">given that Tenandra advised that fixed charges in the Second Schedule did not include amounts to recover WaterNSW and DPI </w:t>
      </w:r>
      <w:r w:rsidR="00B42415">
        <w:t xml:space="preserve">Water </w:t>
      </w:r>
      <w:r>
        <w:t>fixed charges, the ACCC assumed that t</w:t>
      </w:r>
      <w:r w:rsidR="00186096" w:rsidRPr="00DA181B">
        <w:t xml:space="preserve">he </w:t>
      </w:r>
      <w:r w:rsidR="0030365F" w:rsidRPr="00DA181B">
        <w:t>WaterNSW fixed charge and DPI Water</w:t>
      </w:r>
      <w:r w:rsidR="00724563" w:rsidRPr="00DA181B">
        <w:t xml:space="preserve"> fixed charge</w:t>
      </w:r>
      <w:r>
        <w:t>s</w:t>
      </w:r>
      <w:r w:rsidR="0030365F" w:rsidRPr="00DA181B">
        <w:t xml:space="preserve"> </w:t>
      </w:r>
      <w:r>
        <w:t>we</w:t>
      </w:r>
      <w:r w:rsidRPr="00DA181B">
        <w:t xml:space="preserve">re </w:t>
      </w:r>
      <w:r w:rsidR="0030365F" w:rsidRPr="00DA181B">
        <w:t xml:space="preserve">the same as in the First Schedule </w:t>
      </w:r>
      <w:r w:rsidR="00186096" w:rsidRPr="00DA181B">
        <w:t>(</w:t>
      </w:r>
      <w:r w:rsidR="0030365F" w:rsidRPr="00DA181B">
        <w:t>$3.51/ML and $1.98/ML respectively).</w:t>
      </w:r>
      <w:r w:rsidR="0022760D" w:rsidRPr="00DA181B">
        <w:t xml:space="preserve"> </w:t>
      </w:r>
    </w:p>
    <w:p w:rsidR="00DA181B" w:rsidRDefault="00DA181B" w:rsidP="00F90601">
      <w:pPr>
        <w:pStyle w:val="Bulletpoint2"/>
      </w:pPr>
      <w:r>
        <w:t xml:space="preserve">given that Tenandra did not include its water pumping fee on its Second Schedule, but advised that </w:t>
      </w:r>
      <w:r w:rsidR="00B42415">
        <w:t xml:space="preserve">it </w:t>
      </w:r>
      <w:r>
        <w:t xml:space="preserve">did apply as per the First Schedule, the ACCC assumed that the WaterNSW and DPI </w:t>
      </w:r>
      <w:r w:rsidR="00B42415">
        <w:t xml:space="preserve">Water </w:t>
      </w:r>
      <w:r>
        <w:t>variable charges applied as described above</w:t>
      </w:r>
      <w:r w:rsidR="0061311B">
        <w:t>.</w:t>
      </w:r>
    </w:p>
    <w:p w:rsidR="00A63197" w:rsidRDefault="004C2DE6" w:rsidP="00A63D8E">
      <w:r w:rsidRPr="00546BFE">
        <w:t xml:space="preserve">Tenandra also has a special purpose levy of $230 per delivery </w:t>
      </w:r>
      <w:r>
        <w:t>s</w:t>
      </w:r>
      <w:r w:rsidRPr="00546BFE">
        <w:t xml:space="preserve">hare which will be levied once per year for the period </w:t>
      </w:r>
      <w:r w:rsidR="001C3657">
        <w:t>2015−16</w:t>
      </w:r>
      <w:r w:rsidRPr="00546BFE">
        <w:t xml:space="preserve"> to 2017-18</w:t>
      </w:r>
      <w:r>
        <w:t>, applicable to some irrigators</w:t>
      </w:r>
      <w:r w:rsidRPr="00546BFE">
        <w:t>.</w:t>
      </w:r>
      <w:r>
        <w:t xml:space="preserve"> This has not been included in hypothetical bills.</w:t>
      </w:r>
    </w:p>
    <w:p w:rsidR="00897AA5" w:rsidRPr="0060427D" w:rsidRDefault="00897AA5" w:rsidP="00897AA5">
      <w:pPr>
        <w:pStyle w:val="Heading4"/>
        <w:keepNext/>
      </w:pPr>
      <w:bookmarkStart w:id="211" w:name="_Toc418071403"/>
      <w:r w:rsidRPr="0060427D">
        <w:t>Hypothetical termination fee</w:t>
      </w:r>
      <w:bookmarkEnd w:id="211"/>
    </w:p>
    <w:p w:rsidR="00897AA5" w:rsidRPr="0060427D" w:rsidRDefault="00897AA5" w:rsidP="00897AA5">
      <w:r w:rsidRPr="0060427D">
        <w:t>The hypothetical termination fee is calculated assuming 250 ML of water delivery right is held, with either 50 or 100 per cent of this volume terminated.</w:t>
      </w:r>
    </w:p>
    <w:p w:rsidR="00897AA5" w:rsidRDefault="00897AA5" w:rsidP="00897AA5">
      <w:r w:rsidRPr="0060427D">
        <w:t xml:space="preserve">The hypothetical termination fee is calculated </w:t>
      </w:r>
      <w:r w:rsidR="003F69E9">
        <w:t>based on</w:t>
      </w:r>
      <w:r w:rsidRPr="0060427D">
        <w:t xml:space="preserve"> </w:t>
      </w:r>
      <w:r w:rsidR="0061311B">
        <w:t xml:space="preserve">off-river fixed </w:t>
      </w:r>
      <w:r w:rsidR="00ED72A3">
        <w:t>charges</w:t>
      </w:r>
      <w:r w:rsidR="0001269A">
        <w:t>, multiplied by ten</w:t>
      </w:r>
      <w:r w:rsidR="003F69E9">
        <w:t>:</w:t>
      </w:r>
    </w:p>
    <w:p w:rsidR="0030365F" w:rsidRDefault="003F69E9" w:rsidP="00DA47C0">
      <w:pPr>
        <w:pStyle w:val="Bulletpoint"/>
      </w:pPr>
      <w:r>
        <w:t>For</w:t>
      </w:r>
      <w:r w:rsidR="0030365F">
        <w:t xml:space="preserve"> the First Schedule, the relevant fixed charge is the operating and maintenance </w:t>
      </w:r>
      <w:r>
        <w:t xml:space="preserve">charge, exclusive of WaterNSW and DPI </w:t>
      </w:r>
      <w:r w:rsidR="00B42415">
        <w:t xml:space="preserve">Water </w:t>
      </w:r>
      <w:r>
        <w:t>components</w:t>
      </w:r>
      <w:r w:rsidR="0030365F">
        <w:t>.</w:t>
      </w:r>
    </w:p>
    <w:p w:rsidR="0030365F" w:rsidRDefault="003F69E9" w:rsidP="00DA47C0">
      <w:pPr>
        <w:pStyle w:val="Bulletpoint"/>
      </w:pPr>
      <w:r>
        <w:t xml:space="preserve">For </w:t>
      </w:r>
      <w:r w:rsidR="0030365F">
        <w:t>the Second Schedule,</w:t>
      </w:r>
      <w:r w:rsidR="0030365F" w:rsidRPr="0030365F">
        <w:t xml:space="preserve"> </w:t>
      </w:r>
      <w:r w:rsidR="0030365F">
        <w:t>the relevant fixed charges are</w:t>
      </w:r>
      <w:r w:rsidR="00A9531A">
        <w:t xml:space="preserve"> the operating and maintenance </w:t>
      </w:r>
      <w:r>
        <w:t>charge</w:t>
      </w:r>
      <w:r w:rsidR="00433158">
        <w:t>—</w:t>
      </w:r>
      <w:r w:rsidR="00A9531A">
        <w:t>Bottom scheme</w:t>
      </w:r>
      <w:r w:rsidR="00BA4B01">
        <w:t>, converted to $ per ML of water delivery right as described above,</w:t>
      </w:r>
      <w:r w:rsidR="00A9531A">
        <w:t xml:space="preserve"> and </w:t>
      </w:r>
      <w:r>
        <w:t xml:space="preserve">the fixed </w:t>
      </w:r>
      <w:r w:rsidR="00A9531A">
        <w:t xml:space="preserve">outlet </w:t>
      </w:r>
      <w:r>
        <w:t>charge</w:t>
      </w:r>
      <w:r w:rsidR="00186096">
        <w:t>.</w:t>
      </w:r>
    </w:p>
    <w:p w:rsidR="00A9531A" w:rsidRPr="0060427D" w:rsidRDefault="00A9531A" w:rsidP="00897AA5">
      <w:r>
        <w:t xml:space="preserve">For each level of water delivery right on which a hypothetical termination fee is calculated, half of the termination fee calculated </w:t>
      </w:r>
      <w:r w:rsidR="003F69E9">
        <w:t>using the First Schedule</w:t>
      </w:r>
      <w:r>
        <w:t xml:space="preserve"> is added to </w:t>
      </w:r>
      <w:r w:rsidR="003F69E9">
        <w:t xml:space="preserve">half of </w:t>
      </w:r>
      <w:r>
        <w:t xml:space="preserve">the termination fee calculated </w:t>
      </w:r>
      <w:r w:rsidR="003F69E9">
        <w:t xml:space="preserve">using the </w:t>
      </w:r>
      <w:r w:rsidR="0047471B">
        <w:t xml:space="preserve">Second Schedule </w:t>
      </w:r>
      <w:r w:rsidR="003F69E9">
        <w:t>(i.e. taking a weighted average of both fees, where the weight is 0.5 for each)</w:t>
      </w:r>
      <w:r w:rsidR="00186096">
        <w:t>.</w:t>
      </w:r>
    </w:p>
    <w:p w:rsidR="00897AA5" w:rsidRPr="0060427D" w:rsidRDefault="001C3657" w:rsidP="00897AA5">
      <w:pPr>
        <w:pStyle w:val="Heading4"/>
        <w:keepNext/>
      </w:pPr>
      <w:bookmarkStart w:id="212" w:name="_Toc418071405"/>
      <w:bookmarkStart w:id="213" w:name="_Toc418495376"/>
      <w:r>
        <w:t>2015−16</w:t>
      </w:r>
      <w:r w:rsidR="00CD54CF" w:rsidRPr="0060427D">
        <w:t xml:space="preserve"> </w:t>
      </w:r>
      <w:r w:rsidR="00897AA5" w:rsidRPr="0060427D">
        <w:t>Schedule of charges</w:t>
      </w:r>
    </w:p>
    <w:p w:rsidR="00897AA5" w:rsidRDefault="00897AA5" w:rsidP="00897AA5">
      <w:r w:rsidRPr="0060427D">
        <w:t xml:space="preserve">Tenandra provided </w:t>
      </w:r>
      <w:r w:rsidR="002F2902">
        <w:t>the</w:t>
      </w:r>
      <w:r w:rsidR="002F2902" w:rsidRPr="0060427D">
        <w:t xml:space="preserve"> </w:t>
      </w:r>
      <w:r w:rsidRPr="0060427D">
        <w:t>schedule</w:t>
      </w:r>
      <w:r w:rsidR="0061311B">
        <w:t>s</w:t>
      </w:r>
      <w:r w:rsidRPr="0060427D">
        <w:t xml:space="preserve"> of charges </w:t>
      </w:r>
      <w:r w:rsidR="002F2902">
        <w:t xml:space="preserve">below </w:t>
      </w:r>
      <w:r w:rsidRPr="0060427D">
        <w:t xml:space="preserve">to the ACCC as part of </w:t>
      </w:r>
      <w:r w:rsidR="002F2902">
        <w:t>its response to the ACCC’s request for information.</w:t>
      </w:r>
      <w:bookmarkStart w:id="214" w:name="_GoBack"/>
      <w:bookmarkEnd w:id="214"/>
    </w:p>
    <w:p w:rsidR="00CD1266" w:rsidRDefault="00724563" w:rsidP="00A63D8E">
      <w:pPr>
        <w:pStyle w:val="Tabletitle"/>
        <w:keepNext/>
      </w:pPr>
      <w:bookmarkStart w:id="215" w:name="_Toc447900621"/>
      <w:r w:rsidRPr="00546BFE">
        <w:lastRenderedPageBreak/>
        <w:t xml:space="preserve">Tenandra </w:t>
      </w:r>
      <w:r>
        <w:t xml:space="preserve">Irrigation </w:t>
      </w:r>
      <w:r w:rsidRPr="00546BFE">
        <w:t xml:space="preserve">Scheme - Schedule of Charges </w:t>
      </w:r>
      <w:r>
        <w:t xml:space="preserve">(First Schedule) </w:t>
      </w:r>
      <w:r w:rsidRPr="00546BFE">
        <w:t xml:space="preserve">– Applicable </w:t>
      </w:r>
      <w:r w:rsidR="00260A71">
        <w:t>8 </w:t>
      </w:r>
      <w:r>
        <w:t xml:space="preserve">October 2014 to </w:t>
      </w:r>
      <w:r w:rsidR="0047471B">
        <w:t xml:space="preserve">31 </w:t>
      </w:r>
      <w:r>
        <w:t>December 2015</w:t>
      </w:r>
    </w:p>
    <w:p w:rsidR="00724563" w:rsidRDefault="00724563" w:rsidP="00A63D8E">
      <w:pPr>
        <w:keepNext/>
      </w:pPr>
      <w:r>
        <w:rPr>
          <w:noProof/>
          <w:lang w:eastAsia="en-AU"/>
        </w:rPr>
        <w:drawing>
          <wp:inline distT="0" distB="0" distL="0" distR="0" wp14:anchorId="5960A0DA" wp14:editId="6B07B4FE">
            <wp:extent cx="5727700" cy="6540500"/>
            <wp:effectExtent l="0" t="0" r="6350" b="0"/>
            <wp:docPr id="108" name="Picture 1" descr="Schedule of Charges of Tenandra Irrigation Scheme used by the ACCC to prepare hypothetical bills for the 2015-16 water year. This schedule was applicable (relevantly) from 1 July 2015 to 31 December 2015." title="Tenandra Irrigation Scheme Schedule of Charges, 2015-16, Applicable 1 October 2014 to 31 December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0" cstate="print"/>
                    <a:stretch>
                      <a:fillRect/>
                    </a:stretch>
                  </pic:blipFill>
                  <pic:spPr>
                    <a:xfrm>
                      <a:off x="0" y="0"/>
                      <a:ext cx="5731510" cy="6544851"/>
                    </a:xfrm>
                    <a:prstGeom prst="rect">
                      <a:avLst/>
                    </a:prstGeom>
                  </pic:spPr>
                </pic:pic>
              </a:graphicData>
            </a:graphic>
          </wp:inline>
        </w:drawing>
      </w:r>
    </w:p>
    <w:p w:rsidR="00B55722" w:rsidRDefault="00B55722" w:rsidP="00897AA5"/>
    <w:p w:rsidR="00CD1266" w:rsidRPr="00A63D8E" w:rsidRDefault="00724563" w:rsidP="00891FF3">
      <w:pPr>
        <w:pStyle w:val="Tabletitle"/>
        <w:keepNext/>
        <w:keepLines/>
      </w:pPr>
      <w:r w:rsidRPr="004A0D09">
        <w:lastRenderedPageBreak/>
        <w:t>Tenandra Irrigation Scheme - Schedule of Charges (Second Schedule) – Applicable 1</w:t>
      </w:r>
      <w:r w:rsidR="00891FF3">
        <w:t> </w:t>
      </w:r>
      <w:r w:rsidRPr="004A0D09">
        <w:t>January 2015 to 30 June 2016</w:t>
      </w:r>
    </w:p>
    <w:p w:rsidR="00CD1266" w:rsidRPr="003F1051" w:rsidRDefault="00CD1266" w:rsidP="00891FF3">
      <w:pPr>
        <w:keepNext/>
        <w:keepLines/>
      </w:pPr>
      <w:r>
        <w:rPr>
          <w:noProof/>
          <w:lang w:eastAsia="en-AU"/>
        </w:rPr>
        <w:drawing>
          <wp:inline distT="0" distB="0" distL="0" distR="0" wp14:anchorId="21B76066" wp14:editId="12F9E0BB">
            <wp:extent cx="5731510" cy="4333875"/>
            <wp:effectExtent l="0" t="0" r="2540" b="9525"/>
            <wp:docPr id="111" name="Picture 111" descr="Schedule of Charges of Tenandra Irrigation Scheme used by the ACCC to prepare hypothetical bills for the 2015-16 water year. This schedule was applicable (relevantly) from 1 January 2016 to 31 July 2016." title="Tenandra Irrigation Scheme Schedule of Charges, 2015-16, Applicable 1 January 2015 to 30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4333875"/>
                    </a:xfrm>
                    <a:prstGeom prst="rect">
                      <a:avLst/>
                    </a:prstGeom>
                    <a:noFill/>
                    <a:ln>
                      <a:noFill/>
                    </a:ln>
                  </pic:spPr>
                </pic:pic>
              </a:graphicData>
            </a:graphic>
          </wp:inline>
        </w:drawing>
      </w:r>
    </w:p>
    <w:p w:rsidR="00897AA5" w:rsidRDefault="00897AA5" w:rsidP="00736EBA">
      <w:pPr>
        <w:pStyle w:val="Numbered111"/>
      </w:pPr>
      <w:bookmarkStart w:id="216" w:name="_Toc449693011"/>
      <w:bookmarkStart w:id="217" w:name="_Toc485303368"/>
      <w:r>
        <w:t>Marthaguy Irrigation Scheme (Marthaguy), NSW Macquarie</w:t>
      </w:r>
      <w:bookmarkEnd w:id="212"/>
      <w:bookmarkEnd w:id="213"/>
      <w:bookmarkEnd w:id="215"/>
      <w:bookmarkEnd w:id="216"/>
      <w:bookmarkEnd w:id="217"/>
    </w:p>
    <w:p w:rsidR="00897AA5" w:rsidRDefault="00897AA5" w:rsidP="00897AA5">
      <w:pPr>
        <w:pStyle w:val="Heading4"/>
        <w:keepNext/>
      </w:pPr>
      <w:bookmarkStart w:id="218" w:name="_Toc418071406"/>
      <w:r>
        <w:t>Off-river IO hypothetical bill</w:t>
      </w:r>
    </w:p>
    <w:bookmarkEnd w:id="218"/>
    <w:p w:rsidR="008E718D" w:rsidRDefault="008E718D" w:rsidP="008E718D">
      <w:r>
        <w:t>Marthaguy is a joint water supply scheme, meaning that customers jointly hold a single water access entitlement (rather than the operator holding the entitlement and customers holding irrigation rights).</w:t>
      </w:r>
    </w:p>
    <w:p w:rsidR="00897AA5" w:rsidRDefault="00897AA5" w:rsidP="00897AA5">
      <w:r>
        <w:t>The analysis assumes one irrigator in Marthaguy’s network who:</w:t>
      </w:r>
    </w:p>
    <w:p w:rsidR="00897AA5" w:rsidRDefault="00897AA5" w:rsidP="00DA47C0">
      <w:pPr>
        <w:pStyle w:val="Bulletpoint"/>
      </w:pPr>
      <w:r>
        <w:t xml:space="preserve">holds a specific </w:t>
      </w:r>
      <w:r w:rsidR="008E718D">
        <w:t xml:space="preserve">share </w:t>
      </w:r>
      <w:r>
        <w:t xml:space="preserve">of general security </w:t>
      </w:r>
      <w:r w:rsidR="008E718D">
        <w:t xml:space="preserve">water access entitlement </w:t>
      </w:r>
      <w:r>
        <w:t xml:space="preserve">(50 ML, 250 ML or 1000 ML) and </w:t>
      </w:r>
    </w:p>
    <w:p w:rsidR="00897AA5" w:rsidRDefault="00897AA5" w:rsidP="00DA47C0">
      <w:pPr>
        <w:pStyle w:val="Bulletpoint"/>
      </w:pPr>
      <w:r>
        <w:t>holds an equivalent amount of general security delivery entitlement (50 ML, 250 ML or 1000 ML, respectively).</w:t>
      </w:r>
    </w:p>
    <w:p w:rsidR="00897AA5" w:rsidRDefault="00897AA5" w:rsidP="00897AA5">
      <w:r>
        <w:t xml:space="preserve">The </w:t>
      </w:r>
      <w:r w:rsidR="001C3657">
        <w:t>2015−16</w:t>
      </w:r>
      <w:r w:rsidR="00CD54CF">
        <w:t xml:space="preserve"> </w:t>
      </w:r>
      <w:r>
        <w:t>hypothetical bill</w:t>
      </w:r>
      <w:r w:rsidR="00CD54CF">
        <w:t>s</w:t>
      </w:r>
      <w:r>
        <w:t xml:space="preserve"> analysis includes the following charges listed on Marthaguy’s schedule of charges</w:t>
      </w:r>
      <w:r w:rsidR="00A34467">
        <w:t>:</w:t>
      </w:r>
      <w:r>
        <w:t xml:space="preserve"> </w:t>
      </w:r>
    </w:p>
    <w:p w:rsidR="00897AA5" w:rsidRDefault="00897AA5" w:rsidP="00897AA5">
      <w:r>
        <w:t>Fixed:</w:t>
      </w:r>
    </w:p>
    <w:p w:rsidR="00897AA5" w:rsidRDefault="00897AA5" w:rsidP="00DA47C0">
      <w:pPr>
        <w:pStyle w:val="Bulletpoint"/>
      </w:pPr>
      <w:r>
        <w:t>operating and maintenance charge</w:t>
      </w:r>
      <w:r w:rsidR="0061311B">
        <w:t xml:space="preserve"> (levied per ML of water delivery right held)</w:t>
      </w:r>
      <w:r w:rsidR="0061311B">
        <w:rPr>
          <w:rStyle w:val="FootnoteReference"/>
        </w:rPr>
        <w:footnoteReference w:id="63"/>
      </w:r>
    </w:p>
    <w:p w:rsidR="00897AA5" w:rsidRDefault="00897AA5" w:rsidP="00DA47C0">
      <w:pPr>
        <w:pStyle w:val="Bulletpoint"/>
      </w:pPr>
      <w:r>
        <w:lastRenderedPageBreak/>
        <w:t>Water</w:t>
      </w:r>
      <w:r w:rsidR="004D6CFB">
        <w:t>NSW</w:t>
      </w:r>
      <w:r>
        <w:rPr>
          <w:rStyle w:val="FootnoteReference"/>
        </w:rPr>
        <w:footnoteReference w:id="64"/>
      </w:r>
      <w:r>
        <w:t xml:space="preserve"> general security</w:t>
      </w:r>
      <w:r w:rsidR="0061311B">
        <w:t xml:space="preserve"> (levied per ML of share of water access entitlement held)</w:t>
      </w:r>
    </w:p>
    <w:p w:rsidR="00897AA5" w:rsidRDefault="00CD54CF" w:rsidP="00DA47C0">
      <w:pPr>
        <w:pStyle w:val="Bulletpoint"/>
      </w:pPr>
      <w:r>
        <w:t xml:space="preserve">DPI </w:t>
      </w:r>
      <w:r w:rsidR="00897AA5">
        <w:t>Office of Water general security</w:t>
      </w:r>
      <w:r w:rsidR="0061311B">
        <w:t xml:space="preserve"> (levied per ML of share of water access entitlement held)</w:t>
      </w:r>
    </w:p>
    <w:p w:rsidR="00897AA5" w:rsidRDefault="00897AA5" w:rsidP="00DA47C0">
      <w:pPr>
        <w:pStyle w:val="Bulletpoint"/>
      </w:pPr>
      <w:r>
        <w:t>MRFF</w:t>
      </w:r>
      <w:r w:rsidR="00A34467">
        <w:t xml:space="preserve"> (Macquarie River Food and Fibre)</w:t>
      </w:r>
      <w:r w:rsidR="0061311B">
        <w:t xml:space="preserve"> (levied per ML of share of water access entitlement held)</w:t>
      </w:r>
    </w:p>
    <w:p w:rsidR="00897AA5" w:rsidRDefault="00897AA5" w:rsidP="00DA47C0">
      <w:pPr>
        <w:pStyle w:val="Bulletpoint"/>
      </w:pPr>
      <w:r>
        <w:t>NSW Irrigators Council</w:t>
      </w:r>
      <w:r w:rsidR="0061311B">
        <w:t xml:space="preserve"> (levied per ML of share of water access entitlement held)</w:t>
      </w:r>
    </w:p>
    <w:p w:rsidR="00897AA5" w:rsidRDefault="00897AA5" w:rsidP="00897AA5">
      <w:r>
        <w:t>Variable:</w:t>
      </w:r>
    </w:p>
    <w:p w:rsidR="00897AA5" w:rsidRDefault="00897AA5" w:rsidP="00DA47C0">
      <w:pPr>
        <w:pStyle w:val="Bulletpoint"/>
      </w:pPr>
      <w:r>
        <w:t>M</w:t>
      </w:r>
      <w:r w:rsidR="004D6CFB">
        <w:t>arthaguy</w:t>
      </w:r>
      <w:r>
        <w:t xml:space="preserve"> pumping charge</w:t>
      </w:r>
      <w:r w:rsidR="0061311B">
        <w:t xml:space="preserve"> (levied per ML of water delivered)</w:t>
      </w:r>
      <w:r w:rsidR="000B30F8">
        <w:t>.</w:t>
      </w:r>
    </w:p>
    <w:p w:rsidR="004C423F" w:rsidRDefault="004C423F" w:rsidP="00897AA5">
      <w:r>
        <w:t xml:space="preserve">The WaterNSW and DPI Water fixed charges listed on Marthaguy’s schedule of charges </w:t>
      </w:r>
      <w:r w:rsidR="00C32DE1">
        <w:t>are</w:t>
      </w:r>
      <w:r>
        <w:t xml:space="preserve"> used for the ACCC’s hypothetical bill analysis for Marthaguy </w:t>
      </w:r>
      <w:r w:rsidR="00BF3323">
        <w:t xml:space="preserve">as they </w:t>
      </w:r>
      <w:r w:rsidR="0061311B">
        <w:t xml:space="preserve">equal </w:t>
      </w:r>
      <w:r>
        <w:t>the regulated WaterNSW and DPI Water charges for the Macquarie valley.</w:t>
      </w:r>
    </w:p>
    <w:p w:rsidR="00366898" w:rsidRDefault="00897AA5" w:rsidP="00897AA5">
      <w:r>
        <w:t>The M</w:t>
      </w:r>
      <w:r w:rsidR="004D6CFB">
        <w:t>arthaguy</w:t>
      </w:r>
      <w:r>
        <w:t xml:space="preserve"> pumping charge includes WaterNSW</w:t>
      </w:r>
      <w:r w:rsidR="009F78F1">
        <w:t xml:space="preserve"> ($15.89/ML)</w:t>
      </w:r>
      <w:r>
        <w:t xml:space="preserve"> and DPI </w:t>
      </w:r>
      <w:r w:rsidR="00F72EEA">
        <w:t xml:space="preserve">Water </w:t>
      </w:r>
      <w:r w:rsidR="009F78F1">
        <w:t xml:space="preserve">($1.90/ML) </w:t>
      </w:r>
      <w:r>
        <w:t xml:space="preserve">variable charges imposed on Marthaguy and passed </w:t>
      </w:r>
      <w:r w:rsidR="0061311B">
        <w:t xml:space="preserve">through </w:t>
      </w:r>
      <w:r>
        <w:t>to its customers.</w:t>
      </w:r>
      <w:r w:rsidR="004D6CFB">
        <w:t xml:space="preserve"> The remainder of the pumping charge </w:t>
      </w:r>
      <w:r w:rsidR="009F78F1">
        <w:t xml:space="preserve">($10.08/ML) </w:t>
      </w:r>
      <w:r w:rsidR="004D6CFB">
        <w:t xml:space="preserve">is </w:t>
      </w:r>
      <w:r w:rsidR="0061311B">
        <w:t xml:space="preserve">assumed </w:t>
      </w:r>
      <w:r w:rsidR="004D6CFB">
        <w:t xml:space="preserve">to </w:t>
      </w:r>
      <w:r w:rsidR="0061311B">
        <w:t xml:space="preserve">be </w:t>
      </w:r>
      <w:r w:rsidR="004D6CFB">
        <w:t xml:space="preserve">Marthaguy’s variable off-river infrastructure charge. </w:t>
      </w:r>
    </w:p>
    <w:p w:rsidR="00897AA5" w:rsidRDefault="00897AA5" w:rsidP="00897AA5">
      <w:pPr>
        <w:pStyle w:val="Heading4"/>
        <w:keepNext/>
      </w:pPr>
      <w:bookmarkStart w:id="219" w:name="_Toc418071407"/>
      <w:r>
        <w:t>Hypothetical termination fee</w:t>
      </w:r>
      <w:bookmarkEnd w:id="219"/>
    </w:p>
    <w:p w:rsidR="00897AA5" w:rsidRDefault="00897AA5" w:rsidP="009B55BD">
      <w:r>
        <w:t xml:space="preserve">The hypothetical termination fee is calculated assuming 250 ML of general security delivery entitlement is held, with either 50 or 100 per cent of this volume terminated. </w:t>
      </w:r>
    </w:p>
    <w:p w:rsidR="00897AA5" w:rsidRDefault="00897AA5" w:rsidP="00897AA5">
      <w:r>
        <w:t>The operating and maintenance charge</w:t>
      </w:r>
      <w:r w:rsidR="004C423F">
        <w:t xml:space="preserve"> </w:t>
      </w:r>
      <w:r w:rsidR="001C56AE">
        <w:t>forms the basis of</w:t>
      </w:r>
      <w:r>
        <w:t xml:space="preserve"> the calculation of the hypothetical termination fee.</w:t>
      </w:r>
      <w:r w:rsidR="00910699">
        <w:t xml:space="preserve"> The dollar amount of this fixed charge is multiplied by ten </w:t>
      </w:r>
      <w:r w:rsidR="001C56AE">
        <w:t>to produce the hypothetical termination fee</w:t>
      </w:r>
      <w:r w:rsidR="00910699">
        <w:t xml:space="preserve">. </w:t>
      </w:r>
    </w:p>
    <w:p w:rsidR="00897AA5" w:rsidRDefault="001C3657" w:rsidP="00A63D8E">
      <w:pPr>
        <w:pStyle w:val="Heading4"/>
        <w:keepNext/>
      </w:pPr>
      <w:r>
        <w:t>2015−16</w:t>
      </w:r>
      <w:r w:rsidR="00CD54CF">
        <w:t xml:space="preserve"> </w:t>
      </w:r>
      <w:r w:rsidR="00897AA5">
        <w:t>Schedule of charges</w:t>
      </w:r>
    </w:p>
    <w:p w:rsidR="009E1648" w:rsidRDefault="00897AA5" w:rsidP="00897AA5">
      <w:pPr>
        <w:sectPr w:rsidR="009E1648" w:rsidSect="00565DE1">
          <w:footerReference w:type="default" r:id="rId102"/>
          <w:pgSz w:w="11906" w:h="16838"/>
          <w:pgMar w:top="1276" w:right="1440" w:bottom="1440" w:left="1440" w:header="708" w:footer="708" w:gutter="0"/>
          <w:cols w:space="708"/>
          <w:docGrid w:linePitch="360"/>
        </w:sectPr>
      </w:pPr>
      <w:r w:rsidRPr="00850E67">
        <w:t xml:space="preserve">Marthaguy provided </w:t>
      </w:r>
      <w:r w:rsidR="00751B7F">
        <w:t>the</w:t>
      </w:r>
      <w:r w:rsidR="00751B7F" w:rsidRPr="00850E67">
        <w:t xml:space="preserve"> </w:t>
      </w:r>
      <w:r w:rsidRPr="00850E67">
        <w:t xml:space="preserve">schedule of charges </w:t>
      </w:r>
      <w:r w:rsidR="00751B7F">
        <w:t>below as part of its</w:t>
      </w:r>
      <w:r w:rsidR="002F2902">
        <w:t xml:space="preserve"> response to</w:t>
      </w:r>
      <w:r w:rsidRPr="00850E67">
        <w:t xml:space="preserve"> the </w:t>
      </w:r>
      <w:r w:rsidR="001A30E5">
        <w:t xml:space="preserve">ACCC’s </w:t>
      </w:r>
      <w:r w:rsidRPr="00850E67">
        <w:t>request for information.</w:t>
      </w:r>
      <w:r>
        <w:t xml:space="preserve"> </w:t>
      </w:r>
    </w:p>
    <w:p w:rsidR="00897AA5" w:rsidRDefault="009E1648" w:rsidP="00897AA5">
      <w:r>
        <w:object w:dxaOrig="11881" w:dyaOrig="9180">
          <v:shape id="_x0000_i1029" type="#_x0000_t75" alt="Marthaguy Irrigation Scheme Schedule of Charges, 2015-16, Applicable 15 November 2015 to 30 June 2016, page 1." style="width:537.45pt;height:415.75pt" o:ole="">
            <v:imagedata r:id="rId103" o:title=""/>
          </v:shape>
          <o:OLEObject Type="Embed" ProgID="AcroExch.Document.11" ShapeID="_x0000_i1029" DrawAspect="Content" ObjectID="_1559126979" r:id="rId104"/>
        </w:object>
      </w:r>
    </w:p>
    <w:p w:rsidR="009E1648" w:rsidRDefault="00852558" w:rsidP="00F03E8D">
      <w:r>
        <w:object w:dxaOrig="11881" w:dyaOrig="9180">
          <v:shape id="_x0000_i1030" type="#_x0000_t75" alt="Marthaguy Irrigation Scheme Schedule of Charges, 2015-16, Applicable 15 November 2015 to 30 June 2016, page 2." style="width:594.25pt;height:428.95pt" o:ole="">
            <v:imagedata r:id="rId105" o:title=""/>
          </v:shape>
          <o:OLEObject Type="Embed" ProgID="AcroExch.Document.11" ShapeID="_x0000_i1030" DrawAspect="Content" ObjectID="_1559126980" r:id="rId106"/>
        </w:object>
      </w:r>
    </w:p>
    <w:p w:rsidR="009E1648" w:rsidRDefault="009E1648" w:rsidP="00F03E8D">
      <w:pPr>
        <w:sectPr w:rsidR="009E1648" w:rsidSect="009E1648">
          <w:footerReference w:type="default" r:id="rId107"/>
          <w:pgSz w:w="16838" w:h="11906" w:orient="landscape"/>
          <w:pgMar w:top="1440" w:right="1276" w:bottom="1440" w:left="1440" w:header="709" w:footer="709" w:gutter="0"/>
          <w:cols w:space="708"/>
          <w:docGrid w:linePitch="360"/>
        </w:sectPr>
      </w:pPr>
    </w:p>
    <w:p w:rsidR="00897AA5" w:rsidRDefault="00897AA5" w:rsidP="00736EBA">
      <w:pPr>
        <w:pStyle w:val="Numbered111"/>
      </w:pPr>
      <w:bookmarkStart w:id="220" w:name="_Toc418071339"/>
      <w:bookmarkStart w:id="221" w:name="_Toc418495352"/>
      <w:bookmarkStart w:id="222" w:name="_Toc447900623"/>
      <w:bookmarkStart w:id="223" w:name="_Toc449693013"/>
      <w:bookmarkStart w:id="224" w:name="_Toc485303369"/>
      <w:r>
        <w:lastRenderedPageBreak/>
        <w:t>SunWater, Queensland</w:t>
      </w:r>
      <w:bookmarkEnd w:id="220"/>
      <w:bookmarkEnd w:id="221"/>
      <w:bookmarkEnd w:id="222"/>
      <w:bookmarkEnd w:id="223"/>
      <w:bookmarkEnd w:id="224"/>
    </w:p>
    <w:p w:rsidR="00B976D5" w:rsidRDefault="00B976D5" w:rsidP="00B976D5">
      <w:pPr>
        <w:pStyle w:val="Heading4"/>
        <w:keepNext/>
      </w:pPr>
      <w:bookmarkStart w:id="225" w:name="_Toc418071409"/>
      <w:r>
        <w:t>Off-river IO hypothetical bill</w:t>
      </w:r>
    </w:p>
    <w:p w:rsidR="00B976D5" w:rsidRDefault="00B976D5" w:rsidP="00897AA5">
      <w:r>
        <w:t xml:space="preserve">This hypothetical bill analysis calculates a hypothetical bill for a customer in the St George Water Supply Scheme. The St George Water Supply Scheme is the only </w:t>
      </w:r>
      <w:r w:rsidR="001A74FE">
        <w:t xml:space="preserve">off-river channel distribution </w:t>
      </w:r>
      <w:r>
        <w:t xml:space="preserve">scheme run by SunWater that is in the Murray-Darling Basin. </w:t>
      </w:r>
    </w:p>
    <w:bookmarkEnd w:id="225"/>
    <w:p w:rsidR="00897AA5" w:rsidRDefault="00897AA5" w:rsidP="00897AA5">
      <w:r>
        <w:t>The analysis applies the conversion of irrigation right to an equivalent farm size because SunWater levies its drainage charge based on farm size in hectares.</w:t>
      </w:r>
      <w:r>
        <w:rPr>
          <w:rStyle w:val="FootnoteReference"/>
        </w:rPr>
        <w:footnoteReference w:id="65"/>
      </w:r>
      <w:r>
        <w:t xml:space="preserve"> </w:t>
      </w:r>
    </w:p>
    <w:p w:rsidR="00897AA5" w:rsidRDefault="00897AA5" w:rsidP="00897AA5">
      <w:r>
        <w:t xml:space="preserve">The </w:t>
      </w:r>
      <w:r w:rsidR="001C3657">
        <w:t>2015−16</w:t>
      </w:r>
      <w:r w:rsidR="001A30E5">
        <w:t xml:space="preserve"> </w:t>
      </w:r>
      <w:r>
        <w:t xml:space="preserve">hypothetical bill analysis includes the following charges listed on SunWater’s schedule of charges.  </w:t>
      </w:r>
    </w:p>
    <w:p w:rsidR="00897AA5" w:rsidRDefault="00897AA5" w:rsidP="00897AA5">
      <w:r>
        <w:t>Fixed:</w:t>
      </w:r>
    </w:p>
    <w:p w:rsidR="00897AA5" w:rsidRDefault="00897AA5" w:rsidP="00DA47C0">
      <w:pPr>
        <w:pStyle w:val="Bulletpoint"/>
      </w:pPr>
      <w:r>
        <w:t xml:space="preserve">allocation charge – </w:t>
      </w:r>
      <w:r w:rsidR="00366898">
        <w:t xml:space="preserve">bulk water </w:t>
      </w:r>
      <w:r>
        <w:t>charge – part A</w:t>
      </w:r>
      <w:r w:rsidR="001C56AE">
        <w:t xml:space="preserve"> (levied per ML of ‘water allocation’ (water access entitlement) held)</w:t>
      </w:r>
    </w:p>
    <w:p w:rsidR="00897AA5" w:rsidRDefault="00897AA5" w:rsidP="00DA47C0">
      <w:pPr>
        <w:pStyle w:val="Bulletpoint"/>
      </w:pPr>
      <w:r>
        <w:t>allocation charge – channel distribution – part C</w:t>
      </w:r>
      <w:r w:rsidR="001C56AE">
        <w:t xml:space="preserve"> (levied per ML of ‘water allocation’ (water access entitlement) held)</w:t>
      </w:r>
    </w:p>
    <w:p w:rsidR="00897AA5" w:rsidRDefault="00897AA5" w:rsidP="00DA47C0">
      <w:pPr>
        <w:pStyle w:val="Bulletpoint"/>
      </w:pPr>
      <w:r>
        <w:t>drainage charge</w:t>
      </w:r>
      <w:r w:rsidR="001C56AE">
        <w:t xml:space="preserve"> (levied per hectare of irrigable land)</w:t>
      </w:r>
      <w:r w:rsidR="004104D0">
        <w:t>.</w:t>
      </w:r>
    </w:p>
    <w:p w:rsidR="00897AA5" w:rsidRDefault="00897AA5" w:rsidP="00897AA5">
      <w:r>
        <w:t>Variable:</w:t>
      </w:r>
    </w:p>
    <w:p w:rsidR="00897AA5" w:rsidRDefault="00897AA5" w:rsidP="00DA47C0">
      <w:pPr>
        <w:pStyle w:val="Bulletpoint"/>
      </w:pPr>
      <w:r>
        <w:t xml:space="preserve">allocation water – </w:t>
      </w:r>
      <w:r w:rsidR="00366898">
        <w:t xml:space="preserve">bulk water </w:t>
      </w:r>
      <w:r>
        <w:t xml:space="preserve">charge – part B </w:t>
      </w:r>
      <w:r w:rsidR="001C56AE">
        <w:t>(levied per ML of water delivered)</w:t>
      </w:r>
    </w:p>
    <w:p w:rsidR="00897AA5" w:rsidRDefault="00897AA5" w:rsidP="00DA47C0">
      <w:pPr>
        <w:pStyle w:val="Bulletpoint"/>
      </w:pPr>
      <w:r>
        <w:t>allocation water – channel distribution – part D</w:t>
      </w:r>
      <w:r w:rsidR="001C56AE">
        <w:t xml:space="preserve"> (levied per ML of water delivered)</w:t>
      </w:r>
      <w:r w:rsidR="00181594">
        <w:t>.</w:t>
      </w:r>
    </w:p>
    <w:p w:rsidR="00897AA5" w:rsidRPr="00A63D8E" w:rsidRDefault="00897AA5" w:rsidP="00646225">
      <w:pPr>
        <w:pStyle w:val="Heading4"/>
      </w:pPr>
      <w:bookmarkStart w:id="226" w:name="_Toc418071410"/>
      <w:r w:rsidRPr="00A63D8E">
        <w:t>Hypothetical termination fee</w:t>
      </w:r>
      <w:bookmarkEnd w:id="226"/>
    </w:p>
    <w:p w:rsidR="00897AA5" w:rsidRDefault="00897AA5" w:rsidP="00897AA5">
      <w:r w:rsidRPr="003C1051">
        <w:t xml:space="preserve">Hypothetical termination fee analysis </w:t>
      </w:r>
      <w:r w:rsidR="006707D2">
        <w:t>wa</w:t>
      </w:r>
      <w:r w:rsidR="006707D2" w:rsidRPr="003C1051">
        <w:t xml:space="preserve">s </w:t>
      </w:r>
      <w:r w:rsidRPr="003C1051">
        <w:t>not conducted for SunWater. The termination fee listed on SunWater’s schedule of charges for the St George network is zero.</w:t>
      </w:r>
    </w:p>
    <w:p w:rsidR="00897AA5" w:rsidRPr="00F00696" w:rsidRDefault="001C3657" w:rsidP="00646225">
      <w:pPr>
        <w:pStyle w:val="Heading4"/>
      </w:pPr>
      <w:r>
        <w:t>2015−16</w:t>
      </w:r>
      <w:r w:rsidR="001A30E5" w:rsidRPr="00F00696">
        <w:t xml:space="preserve"> </w:t>
      </w:r>
      <w:r w:rsidR="00897AA5" w:rsidRPr="00F00696">
        <w:t>Schedule of charges</w:t>
      </w:r>
    </w:p>
    <w:p w:rsidR="00897AA5" w:rsidRDefault="00897AA5" w:rsidP="00897AA5">
      <w:r>
        <w:t xml:space="preserve">The ACCC sourced SunWater’s schedule of charges </w:t>
      </w:r>
      <w:r w:rsidR="00DD3794">
        <w:t xml:space="preserve">for the St George </w:t>
      </w:r>
      <w:r w:rsidR="00BF3323">
        <w:t xml:space="preserve">Water </w:t>
      </w:r>
      <w:r w:rsidR="00DD3794">
        <w:t xml:space="preserve">Supply Scheme </w:t>
      </w:r>
      <w:r>
        <w:t xml:space="preserve">from its </w:t>
      </w:r>
      <w:r w:rsidR="0051686D">
        <w:t>website:</w:t>
      </w:r>
      <w:r>
        <w:t xml:space="preserve"> </w:t>
      </w:r>
      <w:hyperlink r:id="rId108" w:history="1">
        <w:r w:rsidRPr="000E7166">
          <w:rPr>
            <w:rStyle w:val="Hyperlink"/>
          </w:rPr>
          <w:t>http://www.sunwater.com.au/schemes</w:t>
        </w:r>
      </w:hyperlink>
      <w:r>
        <w:t xml:space="preserve">. </w:t>
      </w:r>
      <w:r w:rsidR="00DD3794">
        <w:t xml:space="preserve">The schedule of charges for the St George Water Supply Scheme may be found at section </w:t>
      </w:r>
      <w:r w:rsidR="00751B7F">
        <w:fldChar w:fldCharType="begin"/>
      </w:r>
      <w:r w:rsidR="00751B7F">
        <w:instrText xml:space="preserve"> REF _Ref484437101 \r \h </w:instrText>
      </w:r>
      <w:r w:rsidR="00751B7F">
        <w:fldChar w:fldCharType="separate"/>
      </w:r>
      <w:r w:rsidR="00751B7F">
        <w:t>3.2.5</w:t>
      </w:r>
      <w:r w:rsidR="00751B7F">
        <w:fldChar w:fldCharType="end"/>
      </w:r>
      <w:r w:rsidR="00DD3794">
        <w:t>.</w:t>
      </w:r>
      <w:r w:rsidR="00DD3794" w:rsidDel="00DD3794">
        <w:t xml:space="preserve"> </w:t>
      </w:r>
    </w:p>
    <w:p w:rsidR="001A1A3D" w:rsidRDefault="001A1A3D" w:rsidP="001A1A3D">
      <w:pPr>
        <w:pStyle w:val="Numbered1"/>
      </w:pPr>
      <w:bookmarkStart w:id="227" w:name="_Toc485303370"/>
      <w:r>
        <w:lastRenderedPageBreak/>
        <w:t>Additional assumptions</w:t>
      </w:r>
      <w:bookmarkEnd w:id="227"/>
    </w:p>
    <w:p w:rsidR="001A1A3D" w:rsidRDefault="001A1A3D" w:rsidP="001A1A3D">
      <w:pPr>
        <w:rPr>
          <w:rStyle w:val="Strong"/>
        </w:rPr>
      </w:pPr>
      <w:r w:rsidRPr="00FD7197">
        <w:rPr>
          <w:rStyle w:val="Strong"/>
        </w:rPr>
        <w:t xml:space="preserve">This section </w:t>
      </w:r>
      <w:r>
        <w:rPr>
          <w:rStyle w:val="Strong"/>
        </w:rPr>
        <w:t xml:space="preserve">provides detail on the methodology underpinning selected </w:t>
      </w:r>
      <w:r w:rsidRPr="00FD7197">
        <w:rPr>
          <w:rStyle w:val="Strong"/>
        </w:rPr>
        <w:t xml:space="preserve">analysis presented in </w:t>
      </w:r>
      <w:r>
        <w:rPr>
          <w:rStyle w:val="Strong"/>
        </w:rPr>
        <w:t xml:space="preserve">chapter 5 (Off-river infrastructure operators) and </w:t>
      </w:r>
      <w:r w:rsidRPr="00FD7197">
        <w:rPr>
          <w:rStyle w:val="Strong"/>
        </w:rPr>
        <w:t xml:space="preserve">chapter </w:t>
      </w:r>
      <w:r>
        <w:rPr>
          <w:rStyle w:val="Strong"/>
        </w:rPr>
        <w:t>6</w:t>
      </w:r>
      <w:r w:rsidRPr="00FD7197">
        <w:rPr>
          <w:rStyle w:val="Strong"/>
        </w:rPr>
        <w:t xml:space="preserve"> (</w:t>
      </w:r>
      <w:r>
        <w:rPr>
          <w:rStyle w:val="Strong"/>
        </w:rPr>
        <w:t>Transformation, termination and trade</w:t>
      </w:r>
      <w:r w:rsidRPr="00FD7197">
        <w:rPr>
          <w:rStyle w:val="Strong"/>
        </w:rPr>
        <w:t>) in the Water Monitoring Report</w:t>
      </w:r>
      <w:r w:rsidR="006707D2">
        <w:rPr>
          <w:rStyle w:val="Strong"/>
        </w:rPr>
        <w:t xml:space="preserve"> 2015−16</w:t>
      </w:r>
      <w:r w:rsidRPr="00FD7197">
        <w:rPr>
          <w:rStyle w:val="Strong"/>
        </w:rPr>
        <w:t>.</w:t>
      </w:r>
    </w:p>
    <w:p w:rsidR="007C61A0" w:rsidRDefault="007C61A0" w:rsidP="001A1A3D">
      <w:pPr>
        <w:rPr>
          <w:rStyle w:val="Strong"/>
        </w:rPr>
      </w:pPr>
      <w:r>
        <w:rPr>
          <w:rStyle w:val="Strong"/>
        </w:rPr>
        <w:t>Specifically, detail on the methodology is provided for:</w:t>
      </w:r>
    </w:p>
    <w:p w:rsidR="007C61A0" w:rsidRPr="00DA47C0" w:rsidRDefault="007C61A0" w:rsidP="00DA47C0">
      <w:pPr>
        <w:pStyle w:val="Bulletpoint"/>
        <w:rPr>
          <w:rStyle w:val="Strong"/>
        </w:rPr>
      </w:pPr>
      <w:r w:rsidRPr="00DA47C0">
        <w:rPr>
          <w:rStyle w:val="Strong"/>
        </w:rPr>
        <w:t>Chart 5.1 which examines the relationship between casual use premiums and water delivered under casual use arrangements for the 8 off-river IOs who delivered water under casual use arrangements in 2015−16</w:t>
      </w:r>
    </w:p>
    <w:p w:rsidR="007C61A0" w:rsidRPr="00DA47C0" w:rsidRDefault="007C61A0" w:rsidP="00DA47C0">
      <w:pPr>
        <w:pStyle w:val="Bulletpoint"/>
        <w:rPr>
          <w:rStyle w:val="Strong"/>
        </w:rPr>
      </w:pPr>
      <w:r w:rsidRPr="00DA47C0">
        <w:rPr>
          <w:rStyle w:val="Strong"/>
        </w:rPr>
        <w:t>Chart 6.3 which examines the proportion of transformations traded directly to an environmental water holder in NSW since 2009-10.</w:t>
      </w:r>
    </w:p>
    <w:p w:rsidR="007C61A0" w:rsidRPr="00DA47C0" w:rsidRDefault="007C61A0" w:rsidP="00DA47C0">
      <w:pPr>
        <w:pStyle w:val="Bulletpoint"/>
        <w:rPr>
          <w:rStyle w:val="Strong"/>
        </w:rPr>
      </w:pPr>
      <w:r w:rsidRPr="00DA47C0">
        <w:rPr>
          <w:rStyle w:val="Strong"/>
        </w:rPr>
        <w:t>Chart 6.7 which presents the assumptions and charge data necessary to calculate the water trade application charges for 2015-16.</w:t>
      </w:r>
    </w:p>
    <w:p w:rsidR="001A1A3D" w:rsidRDefault="001A1A3D" w:rsidP="001A1A3D">
      <w:pPr>
        <w:pStyle w:val="Numbered11"/>
      </w:pPr>
      <w:bookmarkStart w:id="228" w:name="_Toc485303371"/>
      <w:r>
        <w:t>Methodology for Cha</w:t>
      </w:r>
      <w:r w:rsidR="005A15F1">
        <w:t>r</w:t>
      </w:r>
      <w:r>
        <w:t xml:space="preserve">t 5.1: </w:t>
      </w:r>
      <w:r w:rsidRPr="005844C1">
        <w:t xml:space="preserve">Off-river IOs—Casual use premium and casual use as a proportion of total volume delivered, </w:t>
      </w:r>
      <w:r w:rsidR="001C3657">
        <w:t>2015−16</w:t>
      </w:r>
      <w:bookmarkEnd w:id="228"/>
    </w:p>
    <w:p w:rsidR="001A1A3D" w:rsidRDefault="001A1A3D" w:rsidP="001A1A3D">
      <w:r w:rsidRPr="00D11609">
        <w:t xml:space="preserve">Chart 5.1 </w:t>
      </w:r>
      <w:r w:rsidR="009A5595">
        <w:t xml:space="preserve">in section 5.3.2 of the main report </w:t>
      </w:r>
      <w:r w:rsidRPr="00D11609">
        <w:t xml:space="preserve">examines </w:t>
      </w:r>
      <w:r>
        <w:t xml:space="preserve">the </w:t>
      </w:r>
      <w:r w:rsidRPr="00D11609">
        <w:t xml:space="preserve">relationship </w:t>
      </w:r>
      <w:r>
        <w:t xml:space="preserve">between casual use premiums and water delivered under casual use arrangements </w:t>
      </w:r>
      <w:r w:rsidRPr="00D11609">
        <w:t xml:space="preserve">for the 8 off-river IOs who delivered water under casual use arrangements in </w:t>
      </w:r>
      <w:r w:rsidR="001C3657">
        <w:t>2015−16</w:t>
      </w:r>
      <w:r w:rsidRPr="00D11609">
        <w:t xml:space="preserve">. </w:t>
      </w:r>
      <w:r>
        <w:t>Operators’ casual use arrangements are described in Table 5.4 in the main report.</w:t>
      </w:r>
    </w:p>
    <w:p w:rsidR="001A1A3D" w:rsidRDefault="001A1A3D" w:rsidP="001A1A3D">
      <w:r>
        <w:t xml:space="preserve">The y-axis of chart 5.1 shows the percentage of total volumes delivered that were delivered under casual use arrangements (see column 2 of table 4.1 below). </w:t>
      </w:r>
    </w:p>
    <w:p w:rsidR="001A1A3D" w:rsidRDefault="001A1A3D" w:rsidP="001A1A3D">
      <w:r>
        <w:t xml:space="preserve">The x-axis of chart 5.1 shows the ‘casual use premium’, calculated as the operator’s total casual usage charges (levied per ML of water delivered under casual use arrangements) relative to the sum of fixed charges levied per ML of water delivery right held plus standard variable usage charge. </w:t>
      </w:r>
    </w:p>
    <w:p w:rsidR="001A1A3D" w:rsidRDefault="001A1A3D" w:rsidP="001A1A3D">
      <w:r>
        <w:t>In some cases, operators have multiple pricing categories, and causal use premiums differ across these categories. However, operators only report on volumes delivered in aggregate (i.e. not by pricing category). Therefore, for the purpose of showing the relationship between casual use premiums and volumes delivered under casual use arrangements, Chart 5.1 shows the minimum calculated casual use premium (see column 9 of table 4.1 below).</w:t>
      </w:r>
    </w:p>
    <w:p w:rsidR="001A1A3D" w:rsidRDefault="001A1A3D" w:rsidP="001A1A3D">
      <w:r>
        <w:t xml:space="preserve">Calculation of casual use premiums does not include any non-volumetric charges (such as account or outlet charges). Also, </w:t>
      </w:r>
      <w:r w:rsidR="009A5595" w:rsidRPr="009A5595">
        <w:rPr>
          <w:rStyle w:val="Emphasis"/>
        </w:rPr>
        <w:t xml:space="preserve">fixed </w:t>
      </w:r>
      <w:r>
        <w:t xml:space="preserve">on-river or WPM charges passed through by the operator to the customer are not included. Because casual use is defined as water delivered above the volume of the customer’s water delivery right, fixed on-river or WPM charges, which are generally levied per ML of irrigation right or water access entitlement held, should not be factored into </w:t>
      </w:r>
      <w:r w:rsidR="00736096">
        <w:t xml:space="preserve">the calculation of </w:t>
      </w:r>
      <w:r>
        <w:t xml:space="preserve">casual use </w:t>
      </w:r>
      <w:r w:rsidR="00736096">
        <w:t>premiums</w:t>
      </w:r>
      <w:r>
        <w:t xml:space="preserve">. </w:t>
      </w:r>
    </w:p>
    <w:p w:rsidR="001A1A3D" w:rsidRDefault="001A1A3D" w:rsidP="001A1A3D">
      <w:pPr>
        <w:sectPr w:rsidR="001A1A3D" w:rsidSect="00565DE1">
          <w:footerReference w:type="default" r:id="rId109"/>
          <w:pgSz w:w="11906" w:h="16838"/>
          <w:pgMar w:top="1276" w:right="1440" w:bottom="1440" w:left="1440" w:header="708" w:footer="708" w:gutter="0"/>
          <w:cols w:space="708"/>
          <w:docGrid w:linePitch="360"/>
        </w:sectPr>
      </w:pPr>
      <w:r>
        <w:t xml:space="preserve">In contrast, casual users may be required to pay </w:t>
      </w:r>
      <w:r w:rsidRPr="009A5595">
        <w:rPr>
          <w:rStyle w:val="Emphasis"/>
        </w:rPr>
        <w:t>variable</w:t>
      </w:r>
      <w:r>
        <w:t xml:space="preserve"> on-river or WPM charges (i.e. charges levied per ML of water delivered or used). </w:t>
      </w:r>
      <w:r w:rsidR="00C44450">
        <w:t xml:space="preserve">Of </w:t>
      </w:r>
      <w:r>
        <w:t>the 8 operators included in Chart 5.1, this is only relevant to the NSW operators, since neither SA nor Victorian customers incur variable WPM or on-river charges. Operators’ approach to requiring casual users to pay on</w:t>
      </w:r>
      <w:r>
        <w:noBreakHyphen/>
        <w:t xml:space="preserve">river or WPM variable charges appears to differ. For example, MIL’s schedule of charges indicates that casual users incur variable ‘government charges’ in line with standard ‘government charges’. In contrast, some other NSW operators presented in Chart 5.1 (MI, </w:t>
      </w:r>
      <w:r>
        <w:lastRenderedPageBreak/>
        <w:t>Coleambally and WMI) do not appear to require casual users to pay these variable charges</w:t>
      </w:r>
      <w:r w:rsidR="009A5595">
        <w:t xml:space="preserve"> (meaning that the costs associated with these charges as incurred by the operator must be recovered elsewhere)</w:t>
      </w:r>
      <w:r>
        <w:t>. Moira does not list a casual usage charge—in the analysis below, it is assumed that casual use attracts all of the same charges as standard use (i.e. the casual usage premium is assumed to be 100 per cent).</w:t>
      </w:r>
    </w:p>
    <w:p w:rsidR="001A1A3D" w:rsidRDefault="001A1A3D" w:rsidP="001A1A3D">
      <w:pPr>
        <w:pStyle w:val="Tabletitle"/>
        <w:keepNext/>
        <w:keepLines/>
      </w:pPr>
      <w:r>
        <w:lastRenderedPageBreak/>
        <w:t>Table 4.1: Derivation of data for Chart 5.1</w:t>
      </w:r>
    </w:p>
    <w:tbl>
      <w:tblPr>
        <w:tblStyle w:val="MediumGrid3"/>
        <w:tblW w:w="13209" w:type="dxa"/>
        <w:tblLook w:val="04A0" w:firstRow="1" w:lastRow="0" w:firstColumn="1" w:lastColumn="0" w:noHBand="0" w:noVBand="1"/>
      </w:tblPr>
      <w:tblGrid>
        <w:gridCol w:w="1134"/>
        <w:gridCol w:w="2093"/>
        <w:gridCol w:w="915"/>
        <w:gridCol w:w="1304"/>
        <w:gridCol w:w="957"/>
        <w:gridCol w:w="1276"/>
        <w:gridCol w:w="1276"/>
        <w:gridCol w:w="1736"/>
        <w:gridCol w:w="2518"/>
      </w:tblGrid>
      <w:tr w:rsidR="001A1A3D" w:rsidRPr="00060B98" w:rsidTr="001A1A3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Operator</w:t>
            </w:r>
          </w:p>
        </w:tc>
        <w:tc>
          <w:tcPr>
            <w:tcW w:w="2093" w:type="dxa"/>
            <w:noWrap/>
            <w:hideMark/>
          </w:tcPr>
          <w:p w:rsidR="001A1A3D" w:rsidRPr="00060B98" w:rsidRDefault="001A1A3D" w:rsidP="001A1A3D">
            <w:pPr>
              <w:pStyle w:val="Tabletext"/>
              <w:cnfStyle w:val="100000000000" w:firstRow="1" w:lastRow="0" w:firstColumn="0" w:lastColumn="0" w:oddVBand="0" w:evenVBand="0" w:oddHBand="0" w:evenHBand="0" w:firstRowFirstColumn="0" w:firstRowLastColumn="0" w:lastRowFirstColumn="0" w:lastRowLastColumn="0"/>
            </w:pPr>
            <w:r w:rsidRPr="00060B98">
              <w:t>Pricing group</w:t>
            </w:r>
          </w:p>
        </w:tc>
        <w:tc>
          <w:tcPr>
            <w:tcW w:w="915" w:type="dxa"/>
            <w:noWrap/>
            <w:hideMark/>
          </w:tcPr>
          <w:p w:rsidR="001A1A3D" w:rsidRPr="00060B98" w:rsidRDefault="001A1A3D" w:rsidP="001A1A3D">
            <w:pPr>
              <w:pStyle w:val="Tabletext"/>
              <w:cnfStyle w:val="100000000000" w:firstRow="1" w:lastRow="0" w:firstColumn="0" w:lastColumn="0" w:oddVBand="0" w:evenVBand="0" w:oddHBand="0" w:evenHBand="0" w:firstRowFirstColumn="0" w:firstRowLastColumn="0" w:lastRowFirstColumn="0" w:lastRowLastColumn="0"/>
            </w:pPr>
            <w:r w:rsidRPr="00060B98">
              <w:t>Pricing sub-group</w:t>
            </w:r>
          </w:p>
        </w:tc>
        <w:tc>
          <w:tcPr>
            <w:tcW w:w="1304" w:type="dxa"/>
            <w:noWrap/>
            <w:hideMark/>
          </w:tcPr>
          <w:p w:rsidR="001A1A3D" w:rsidRPr="00060B98" w:rsidRDefault="001A1A3D" w:rsidP="001A1A3D">
            <w:pPr>
              <w:pStyle w:val="Tabletext"/>
              <w:cnfStyle w:val="100000000000" w:firstRow="1" w:lastRow="0" w:firstColumn="0" w:lastColumn="0" w:oddVBand="0" w:evenVBand="0" w:oddHBand="0" w:evenHBand="0" w:firstRowFirstColumn="0" w:firstRowLastColumn="0" w:lastRowFirstColumn="0" w:lastRowLastColumn="0"/>
            </w:pPr>
            <w:r w:rsidRPr="00060B98">
              <w:t xml:space="preserve">Casual use as % of total water delivered </w:t>
            </w:r>
            <w:r w:rsidRPr="00060B98">
              <w:rPr>
                <w:rStyle w:val="FootnoteReference"/>
              </w:rPr>
              <w:t>a</w:t>
            </w:r>
          </w:p>
        </w:tc>
        <w:tc>
          <w:tcPr>
            <w:tcW w:w="957" w:type="dxa"/>
            <w:noWrap/>
            <w:hideMark/>
          </w:tcPr>
          <w:p w:rsidR="001A1A3D" w:rsidRPr="00060B98" w:rsidRDefault="001A1A3D" w:rsidP="001A1A3D">
            <w:pPr>
              <w:pStyle w:val="Tabletext"/>
              <w:cnfStyle w:val="100000000000" w:firstRow="1" w:lastRow="0" w:firstColumn="0" w:lastColumn="0" w:oddVBand="0" w:evenVBand="0" w:oddHBand="0" w:evenHBand="0" w:firstRowFirstColumn="0" w:firstRowLastColumn="0" w:lastRowFirstColumn="0" w:lastRowLastColumn="0"/>
            </w:pPr>
            <w:r w:rsidRPr="00060B98">
              <w:t>Casual usage charge</w:t>
            </w:r>
          </w:p>
        </w:tc>
        <w:tc>
          <w:tcPr>
            <w:tcW w:w="1276" w:type="dxa"/>
            <w:noWrap/>
            <w:hideMark/>
          </w:tcPr>
          <w:p w:rsidR="001A1A3D" w:rsidRPr="00060B98" w:rsidRDefault="001A1A3D" w:rsidP="001A1A3D">
            <w:pPr>
              <w:pStyle w:val="Tabletext"/>
              <w:cnfStyle w:val="100000000000" w:firstRow="1" w:lastRow="0" w:firstColumn="0" w:lastColumn="0" w:oddVBand="0" w:evenVBand="0" w:oddHBand="0" w:evenHBand="0" w:firstRowFirstColumn="0" w:firstRowLastColumn="0" w:lastRowFirstColumn="0" w:lastRowLastColumn="0"/>
            </w:pPr>
            <w:r w:rsidRPr="00060B98">
              <w:t>Standard variable charge</w:t>
            </w:r>
          </w:p>
        </w:tc>
        <w:tc>
          <w:tcPr>
            <w:tcW w:w="1276" w:type="dxa"/>
            <w:noWrap/>
            <w:hideMark/>
          </w:tcPr>
          <w:p w:rsidR="001A1A3D" w:rsidRPr="00060B98" w:rsidRDefault="001A1A3D" w:rsidP="001A1A3D">
            <w:pPr>
              <w:pStyle w:val="Tabletext"/>
              <w:cnfStyle w:val="100000000000" w:firstRow="1" w:lastRow="0" w:firstColumn="0" w:lastColumn="0" w:oddVBand="0" w:evenVBand="0" w:oddHBand="0" w:evenHBand="0" w:firstRowFirstColumn="0" w:firstRowLastColumn="0" w:lastRowFirstColumn="0" w:lastRowLastColumn="0"/>
            </w:pPr>
            <w:r w:rsidRPr="00060B98">
              <w:t>WDR fixed charge</w:t>
            </w:r>
          </w:p>
        </w:tc>
        <w:tc>
          <w:tcPr>
            <w:tcW w:w="1736" w:type="dxa"/>
            <w:noWrap/>
            <w:hideMark/>
          </w:tcPr>
          <w:p w:rsidR="001A1A3D" w:rsidRPr="00060B98" w:rsidRDefault="001A1A3D" w:rsidP="001A1A3D">
            <w:pPr>
              <w:pStyle w:val="Tabletext"/>
              <w:cnfStyle w:val="100000000000" w:firstRow="1" w:lastRow="0" w:firstColumn="0" w:lastColumn="0" w:oddVBand="0" w:evenVBand="0" w:oddHBand="0" w:evenHBand="0" w:firstRowFirstColumn="0" w:firstRowLastColumn="0" w:lastRowFirstColumn="0" w:lastRowLastColumn="0"/>
            </w:pPr>
            <w:r w:rsidRPr="00060B98">
              <w:t>ratio: casual / (usage + WDR fixed)</w:t>
            </w:r>
          </w:p>
        </w:tc>
        <w:tc>
          <w:tcPr>
            <w:tcW w:w="2518" w:type="dxa"/>
            <w:noWrap/>
            <w:hideMark/>
          </w:tcPr>
          <w:p w:rsidR="001A1A3D" w:rsidRPr="00060B98" w:rsidRDefault="001A1A3D" w:rsidP="001A1A3D">
            <w:pPr>
              <w:pStyle w:val="Tabletext"/>
              <w:cnfStyle w:val="100000000000" w:firstRow="1" w:lastRow="0" w:firstColumn="0" w:lastColumn="0" w:oddVBand="0" w:evenVBand="0" w:oddHBand="0" w:evenHBand="0" w:firstRowFirstColumn="0" w:firstRowLastColumn="0" w:lastRowFirstColumn="0" w:lastRowLastColumn="0"/>
            </w:pPr>
            <w:r w:rsidRPr="00060B98">
              <w:t xml:space="preserve">Ratio—total charge(s) for casual usage divided by standard usage + fixed charges </w:t>
            </w:r>
            <w:r w:rsidRPr="00060B98">
              <w:rPr>
                <w:rStyle w:val="FootnoteReference"/>
              </w:rPr>
              <w:t>b</w:t>
            </w: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CIT</w:t>
            </w:r>
            <w:r>
              <w:t xml:space="preserve"> </w:t>
            </w:r>
            <w:r w:rsidRPr="00060B98">
              <w:rPr>
                <w:rStyle w:val="FootnoteReference"/>
              </w:rPr>
              <w:t>c</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2.72%</w:t>
            </w: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 </w:t>
            </w:r>
          </w:p>
        </w:tc>
        <w:tc>
          <w:tcPr>
            <w:tcW w:w="1736" w:type="dxa"/>
            <w:noWrap/>
            <w:hideMark/>
          </w:tcPr>
          <w:p w:rsidR="001A1A3D" w:rsidRPr="00060B98" w:rsidRDefault="001A1A3D" w:rsidP="001A1A3D">
            <w:pPr>
              <w:cnfStyle w:val="000000000000" w:firstRow="0" w:lastRow="0" w:firstColumn="0" w:lastColumn="0" w:oddVBand="0" w:evenVBand="0" w:oddHBand="0" w:evenHBand="0" w:firstRowFirstColumn="0" w:firstRowLastColumn="0" w:lastRowFirstColumn="0" w:lastRowLastColumn="0"/>
              <w:rPr>
                <w:rFonts w:eastAsia="Times New Roman"/>
              </w:rPr>
            </w:pPr>
            <w:r w:rsidRPr="00060B98">
              <w:rPr>
                <w:rFonts w:eastAsia="Times New Roman"/>
              </w:rPr>
              <w:t>100%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100%</w:t>
            </w: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GMW</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Central Goulburn</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55.85</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6.5</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299%</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Loddon Valley</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57.61</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7.63</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288%</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Murray Valley</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52.12</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6.08</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11</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299%</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Nyah</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79.74</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19.15</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11</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264%</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 xml:space="preserve">Rochester </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50.5</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6.5</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11</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291%</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Shepparton</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76.15</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9.34</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16</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295%</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Torrumbarry</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54.08</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7.11</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289%</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Tresco</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84.61</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9.97</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14</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358%</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Woorinen</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97.78</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17.9</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15</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301%</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 </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All GMW</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0%</w:t>
            </w: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264%</w:t>
            </w: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LMW</w:t>
            </w:r>
            <w:r>
              <w:t xml:space="preserve"> </w:t>
            </w:r>
            <w:r w:rsidRPr="008D06E4">
              <w:rPr>
                <w:rStyle w:val="FootnoteReference"/>
              </w:rPr>
              <w:t>d</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Merbein</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vAlign w:val="top"/>
            <w:hideMark/>
          </w:tcPr>
          <w:p w:rsidR="001A1A3D" w:rsidRPr="00091F26"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91F26">
              <w:t xml:space="preserve"> 410.12 </w:t>
            </w:r>
          </w:p>
        </w:tc>
        <w:tc>
          <w:tcPr>
            <w:tcW w:w="1276" w:type="dxa"/>
            <w:noWrap/>
            <w:vAlign w:val="bottom"/>
            <w:hideMark/>
          </w:tcPr>
          <w:p w:rsidR="001A1A3D" w:rsidRPr="008D06E4"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8D06E4">
              <w:t xml:space="preserve">     43.12 </w:t>
            </w:r>
          </w:p>
        </w:tc>
        <w:tc>
          <w:tcPr>
            <w:tcW w:w="1276" w:type="dxa"/>
            <w:noWrap/>
            <w:vAlign w:val="bottom"/>
            <w:hideMark/>
          </w:tcPr>
          <w:p w:rsidR="001A1A3D" w:rsidRPr="008D06E4"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8D06E4">
              <w:t>367</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Mildura</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vAlign w:val="top"/>
            <w:hideMark/>
          </w:tcPr>
          <w:p w:rsidR="001A1A3D" w:rsidRPr="00091F26"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91F26">
              <w:t xml:space="preserve"> 734.31 </w:t>
            </w:r>
          </w:p>
        </w:tc>
        <w:tc>
          <w:tcPr>
            <w:tcW w:w="1276" w:type="dxa"/>
            <w:noWrap/>
            <w:vAlign w:val="bottom"/>
            <w:hideMark/>
          </w:tcPr>
          <w:p w:rsidR="001A1A3D" w:rsidRPr="008D06E4"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8D06E4">
              <w:t xml:space="preserve">     91.75 </w:t>
            </w:r>
          </w:p>
        </w:tc>
        <w:tc>
          <w:tcPr>
            <w:tcW w:w="1276" w:type="dxa"/>
            <w:noWrap/>
            <w:vAlign w:val="bottom"/>
            <w:hideMark/>
          </w:tcPr>
          <w:p w:rsidR="001A1A3D" w:rsidRPr="008D06E4"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8D06E4">
              <w:t>642.56</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Red Cliffs</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vAlign w:val="top"/>
            <w:hideMark/>
          </w:tcPr>
          <w:p w:rsidR="001A1A3D" w:rsidRPr="00091F26"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91F26">
              <w:t xml:space="preserve"> 470.98 </w:t>
            </w:r>
          </w:p>
        </w:tc>
        <w:tc>
          <w:tcPr>
            <w:tcW w:w="1276" w:type="dxa"/>
            <w:noWrap/>
            <w:vAlign w:val="bottom"/>
            <w:hideMark/>
          </w:tcPr>
          <w:p w:rsidR="001A1A3D" w:rsidRPr="008D06E4"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8D06E4">
              <w:t xml:space="preserve">     41.98 </w:t>
            </w:r>
          </w:p>
        </w:tc>
        <w:tc>
          <w:tcPr>
            <w:tcW w:w="1276" w:type="dxa"/>
            <w:noWrap/>
            <w:vAlign w:val="bottom"/>
            <w:hideMark/>
          </w:tcPr>
          <w:p w:rsidR="001A1A3D" w:rsidRPr="008D06E4"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8D06E4">
              <w:t>429</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Robinvale</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vAlign w:val="top"/>
            <w:hideMark/>
          </w:tcPr>
          <w:p w:rsidR="001A1A3D"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91F26">
              <w:t xml:space="preserve"> 985.81 </w:t>
            </w:r>
          </w:p>
        </w:tc>
        <w:tc>
          <w:tcPr>
            <w:tcW w:w="1276" w:type="dxa"/>
            <w:noWrap/>
            <w:vAlign w:val="bottom"/>
            <w:hideMark/>
          </w:tcPr>
          <w:p w:rsidR="001A1A3D" w:rsidRPr="008D06E4"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8D06E4">
              <w:t xml:space="preserve">     76.45 </w:t>
            </w:r>
          </w:p>
        </w:tc>
        <w:tc>
          <w:tcPr>
            <w:tcW w:w="1276" w:type="dxa"/>
            <w:noWrap/>
            <w:vAlign w:val="bottom"/>
            <w:hideMark/>
          </w:tcPr>
          <w:p w:rsidR="001A1A3D" w:rsidRPr="008D06E4"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8D06E4">
              <w:t>909.36</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 </w:t>
            </w:r>
          </w:p>
        </w:tc>
        <w:tc>
          <w:tcPr>
            <w:tcW w:w="2093" w:type="dxa"/>
            <w:noWrap/>
            <w:hideMark/>
          </w:tcPr>
          <w:p w:rsidR="001A1A3D" w:rsidRPr="005D2F0F" w:rsidRDefault="001A1A3D" w:rsidP="001A1A3D">
            <w:pPr>
              <w:pStyle w:val="Tabletext"/>
              <w:cnfStyle w:val="000000000000" w:firstRow="0" w:lastRow="0" w:firstColumn="0" w:lastColumn="0" w:oddVBand="0" w:evenVBand="0" w:oddHBand="0" w:evenHBand="0" w:firstRowFirstColumn="0" w:firstRowLastColumn="0" w:lastRowFirstColumn="0" w:lastRowLastColumn="0"/>
              <w:rPr>
                <w:b/>
              </w:rPr>
            </w:pPr>
            <w:r w:rsidRPr="005D2F0F">
              <w:rPr>
                <w:b/>
              </w:rPr>
              <w:t>All LMW</w:t>
            </w:r>
          </w:p>
        </w:tc>
        <w:tc>
          <w:tcPr>
            <w:tcW w:w="915" w:type="dxa"/>
            <w:noWrap/>
            <w:hideMark/>
          </w:tcPr>
          <w:p w:rsidR="001A1A3D" w:rsidRPr="005D2F0F" w:rsidRDefault="001A1A3D" w:rsidP="001A1A3D">
            <w:pPr>
              <w:pStyle w:val="Tabletext"/>
              <w:cnfStyle w:val="000000000000" w:firstRow="0" w:lastRow="0" w:firstColumn="0" w:lastColumn="0" w:oddVBand="0" w:evenVBand="0" w:oddHBand="0" w:evenHBand="0" w:firstRowFirstColumn="0" w:firstRowLastColumn="0" w:lastRowFirstColumn="0" w:lastRowLastColumn="0"/>
              <w:rPr>
                <w:b/>
              </w:rPr>
            </w:pPr>
            <w:r w:rsidRPr="005D2F0F">
              <w:rPr>
                <w:b/>
              </w:rPr>
              <w:t> </w:t>
            </w:r>
          </w:p>
        </w:tc>
        <w:tc>
          <w:tcPr>
            <w:tcW w:w="1304" w:type="dxa"/>
            <w:noWrap/>
            <w:hideMark/>
          </w:tcPr>
          <w:p w:rsidR="001A1A3D" w:rsidRPr="005D2F0F"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b/>
              </w:rPr>
            </w:pPr>
            <w:r w:rsidRPr="005D2F0F">
              <w:rPr>
                <w:b/>
              </w:rPr>
              <w:t>1%</w:t>
            </w: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 </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 </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 </w:t>
            </w: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lastRenderedPageBreak/>
              <w:t>MPID</w:t>
            </w:r>
            <w:r>
              <w:t xml:space="preserve"> </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6%</w:t>
            </w: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100%</w:t>
            </w:r>
            <w:r>
              <w:rPr>
                <w:rStyle w:val="FootnoteReference"/>
              </w:rPr>
              <w:t xml:space="preserve"> e</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100%</w:t>
            </w:r>
            <w:r>
              <w:rPr>
                <w:rStyle w:val="FootnoteReference"/>
              </w:rPr>
              <w:t xml:space="preserve"> e</w:t>
            </w: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MIL</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0-5ML</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60.88</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41.12</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6-100ML</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25.29</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11.11</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122%</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&gt;100ML</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18.33</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5.55</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121%</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 </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All MIL</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1%</w:t>
            </w: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120%</w:t>
            </w: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WMI</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Buronga</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179</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108.4</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108</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165%</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Coomealla</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61.4</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61</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163%</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Curlwaa</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71</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49.7</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50</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143%</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 </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All WMI</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9%</w:t>
            </w: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143%</w:t>
            </w: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4142" w:type="dxa"/>
            <w:gridSpan w:val="3"/>
            <w:noWrap/>
            <w:hideMark/>
          </w:tcPr>
          <w:p w:rsidR="001A1A3D" w:rsidRPr="00060B98" w:rsidRDefault="001A1A3D" w:rsidP="001A1A3D">
            <w:pPr>
              <w:pStyle w:val="Tabletext"/>
            </w:pPr>
            <w:r w:rsidRPr="00060B98">
              <w:t>Coleambally</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1%</w:t>
            </w: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13.79</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5.07</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14</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72%</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72%</w:t>
            </w: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MI</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IHS - HS</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0-50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50.4</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32</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51-250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39.5</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23</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&gt;250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30.2</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15</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SAS - GS</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0-50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39</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23</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51-250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31.3</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16</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&gt;250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24.8</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11</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SAS - HS</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0-50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52.7</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34</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51-250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41.2</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24</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&gt;250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31.4</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16</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LAS - HS</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0-50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44.9</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27</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51-250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35.4</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20</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&gt;250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27.6</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13</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LAS - GS</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0-50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33.8</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18</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51-250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27.5</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13</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&gt;250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22.3</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9</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LAW - GS</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0-50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27.9</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8.7</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15</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51-250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22.9</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8.7</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10</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p>
        </w:tc>
        <w:tc>
          <w:tcPr>
            <w:tcW w:w="2093" w:type="dxa"/>
            <w:noWrap/>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pPr>
            <w:r w:rsidRPr="00060B98">
              <w:t>&gt;250</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18.7</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8.7</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7</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r w:rsidRPr="00060B98">
              <w:t>120%</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pPr>
          </w:p>
        </w:tc>
      </w:tr>
      <w:tr w:rsidR="001A1A3D" w:rsidRPr="00060B98" w:rsidTr="001A1A3D">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rsidR="001A1A3D" w:rsidRPr="00060B98" w:rsidRDefault="001A1A3D" w:rsidP="001A1A3D">
            <w:pPr>
              <w:pStyle w:val="Tabletext"/>
            </w:pPr>
            <w:r w:rsidRPr="00060B98">
              <w:t> </w:t>
            </w:r>
          </w:p>
        </w:tc>
        <w:tc>
          <w:tcPr>
            <w:tcW w:w="2093"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All MI</w:t>
            </w:r>
          </w:p>
        </w:tc>
        <w:tc>
          <w:tcPr>
            <w:tcW w:w="915" w:type="dxa"/>
            <w:noWrap/>
            <w:hideMark/>
          </w:tcPr>
          <w:p w:rsidR="001A1A3D" w:rsidRPr="00060B98" w:rsidRDefault="001A1A3D" w:rsidP="001A1A3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304"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2%</w:t>
            </w:r>
          </w:p>
        </w:tc>
        <w:tc>
          <w:tcPr>
            <w:tcW w:w="957"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27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1736"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 </w:t>
            </w:r>
          </w:p>
        </w:tc>
        <w:tc>
          <w:tcPr>
            <w:tcW w:w="2518" w:type="dxa"/>
            <w:noWrap/>
            <w:hideMark/>
          </w:tcPr>
          <w:p w:rsidR="001A1A3D" w:rsidRPr="00060B98" w:rsidRDefault="001A1A3D" w:rsidP="001A1A3D">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060B98">
              <w:rPr>
                <w:rStyle w:val="Strong"/>
              </w:rPr>
              <w:t>120%</w:t>
            </w:r>
          </w:p>
        </w:tc>
      </w:tr>
    </w:tbl>
    <w:p w:rsidR="001A1A3D" w:rsidRPr="00D11609" w:rsidRDefault="001A1A3D" w:rsidP="001A1A3D">
      <w:pPr>
        <w:pStyle w:val="Source"/>
        <w:keepNext/>
        <w:keepLines/>
      </w:pPr>
      <w:r w:rsidRPr="00D11609">
        <w:t>Source:</w:t>
      </w:r>
      <w:r w:rsidRPr="00D11609">
        <w:tab/>
        <w:t>ACCC from data provided and published by infrastructure operators.</w:t>
      </w:r>
    </w:p>
    <w:p w:rsidR="001A1A3D" w:rsidRDefault="001A1A3D" w:rsidP="001A1A3D">
      <w:pPr>
        <w:pStyle w:val="Source"/>
        <w:ind w:left="675" w:hanging="675"/>
      </w:pPr>
      <w:r w:rsidRPr="00D11609">
        <w:t xml:space="preserve">Note: </w:t>
      </w:r>
      <w:r>
        <w:tab/>
        <w:t>a Data for y-axis of Chart 5.1.</w:t>
      </w:r>
      <w:r>
        <w:br/>
        <w:t>b Data for x-axis of Chart 5.1.</w:t>
      </w:r>
      <w:r>
        <w:br/>
        <w:t xml:space="preserve">c </w:t>
      </w:r>
      <w:r w:rsidRPr="008D06E4">
        <w:t xml:space="preserve">CIT charges a WDR equivalent for any use above WDR volume, plus standard variable charges. </w:t>
      </w:r>
      <w:r w:rsidR="005D2F0F">
        <w:t>This d</w:t>
      </w:r>
      <w:r w:rsidRPr="008D06E4">
        <w:t xml:space="preserve">oes not include </w:t>
      </w:r>
      <w:r w:rsidR="005D2F0F">
        <w:t xml:space="preserve">the </w:t>
      </w:r>
      <w:r w:rsidRPr="008D06E4">
        <w:t>SA NRM levy.</w:t>
      </w:r>
      <w:r>
        <w:br/>
        <w:t xml:space="preserve">d LMW fixed charges are levied per delivery share ($/ML/14 days). </w:t>
      </w:r>
      <w:r w:rsidRPr="008D06E4">
        <w:t xml:space="preserve">LMW charges a </w:t>
      </w:r>
      <w:r>
        <w:t>delivery share</w:t>
      </w:r>
      <w:r w:rsidRPr="008D06E4">
        <w:t xml:space="preserve"> equivalent for any use above </w:t>
      </w:r>
      <w:r>
        <w:t>delivery share</w:t>
      </w:r>
      <w:r w:rsidRPr="008D06E4">
        <w:t xml:space="preserve"> volume, plus standard variable charges</w:t>
      </w:r>
      <w:r>
        <w:t>.</w:t>
      </w:r>
      <w:r>
        <w:br/>
        <w:t>e ACCC assumption.</w:t>
      </w:r>
    </w:p>
    <w:p w:rsidR="001A1A3D" w:rsidRDefault="001A1A3D" w:rsidP="001A1A3D">
      <w:pPr>
        <w:pStyle w:val="Source"/>
        <w:ind w:left="675" w:hanging="675"/>
        <w:sectPr w:rsidR="001A1A3D" w:rsidSect="001A1A3D">
          <w:footerReference w:type="default" r:id="rId110"/>
          <w:pgSz w:w="16838" w:h="11906" w:orient="landscape"/>
          <w:pgMar w:top="1440" w:right="1276" w:bottom="1440" w:left="1440" w:header="709" w:footer="709" w:gutter="0"/>
          <w:cols w:space="708"/>
          <w:docGrid w:linePitch="360"/>
        </w:sectPr>
      </w:pPr>
    </w:p>
    <w:p w:rsidR="001A1A3D" w:rsidRDefault="001A1A3D" w:rsidP="001A1A3D">
      <w:pPr>
        <w:pStyle w:val="Numbered11"/>
      </w:pPr>
      <w:bookmarkStart w:id="229" w:name="_Toc485303372"/>
      <w:r>
        <w:lastRenderedPageBreak/>
        <w:t>Methodology for Chart 6.3: NSW operators—Proportion of transformations traded directly to Environmental Water Holders</w:t>
      </w:r>
      <w:bookmarkEnd w:id="229"/>
    </w:p>
    <w:p w:rsidR="001A1A3D" w:rsidRDefault="001A1A3D" w:rsidP="001A1A3D">
      <w:r>
        <w:t xml:space="preserve">Operators able to give effect to transformation report transactional data for each </w:t>
      </w:r>
      <w:r w:rsidR="00C32DE1">
        <w:t xml:space="preserve">transformation </w:t>
      </w:r>
      <w:r>
        <w:t>occurring in a water year in the</w:t>
      </w:r>
      <w:r w:rsidR="00C32DE1">
        <w:t>ir response to the</w:t>
      </w:r>
      <w:r>
        <w:t xml:space="preserve"> ACCC’s annual request for information (RFI). Data reported includes:</w:t>
      </w:r>
    </w:p>
    <w:p w:rsidR="001A1A3D" w:rsidRPr="00DA47C0" w:rsidRDefault="001A1A3D" w:rsidP="00DA47C0">
      <w:pPr>
        <w:pStyle w:val="Bulletpoint"/>
      </w:pPr>
      <w:r w:rsidRPr="00DA47C0">
        <w:t>the date the operator’s water access entitlement was reduced to reflect a completed transformation</w:t>
      </w:r>
    </w:p>
    <w:p w:rsidR="001A1A3D" w:rsidRPr="00DA47C0" w:rsidRDefault="001A1A3D" w:rsidP="00DA47C0">
      <w:pPr>
        <w:pStyle w:val="Bulletpoint"/>
      </w:pPr>
      <w:r w:rsidRPr="00DA47C0">
        <w:t>the volume of irrigation right transformed</w:t>
      </w:r>
    </w:p>
    <w:p w:rsidR="001A1A3D" w:rsidRPr="00DA47C0" w:rsidRDefault="001A1A3D" w:rsidP="00DA47C0">
      <w:pPr>
        <w:pStyle w:val="Bulletpoint"/>
      </w:pPr>
      <w:r w:rsidRPr="00DA47C0">
        <w:t xml:space="preserve">the security, area or pricing category of the irrigation right which is transformed (if applicable – e.g. for a </w:t>
      </w:r>
      <w:r w:rsidR="009A5595" w:rsidRPr="00DA47C0">
        <w:t xml:space="preserve">NSW </w:t>
      </w:r>
      <w:r w:rsidRPr="00DA47C0">
        <w:t>operator who holds both high security (HS) and general security (GS) WALs, whether the irrigation right transformed was HS or GS).</w:t>
      </w:r>
    </w:p>
    <w:p w:rsidR="001A1A3D" w:rsidRDefault="001A1A3D" w:rsidP="001A1A3D">
      <w:r>
        <w:t>The majority of transformations in NSW are given effect by a trade of share component from the operator’s water access licence (WAL) to a WAL specified by the transforming customer. This WAL may be held in the customer’s name, or may be held by a third party.</w:t>
      </w:r>
    </w:p>
    <w:p w:rsidR="001A1A3D" w:rsidRDefault="001A1A3D" w:rsidP="001A1A3D">
      <w:r>
        <w:t xml:space="preserve">The NSW Water Register contains publicly accessible records of share component trades. </w:t>
      </w:r>
      <w:r w:rsidR="009A5595">
        <w:t>These records</w:t>
      </w:r>
      <w:r>
        <w:t xml:space="preserve"> provide:</w:t>
      </w:r>
    </w:p>
    <w:p w:rsidR="001A1A3D" w:rsidRPr="00DA47C0" w:rsidRDefault="001A1A3D" w:rsidP="00DA47C0">
      <w:pPr>
        <w:pStyle w:val="Bulletpoint"/>
      </w:pPr>
      <w:r w:rsidRPr="00DA47C0">
        <w:t>WAL number of ‘seller’</w:t>
      </w:r>
    </w:p>
    <w:p w:rsidR="001A1A3D" w:rsidRPr="00DA47C0" w:rsidRDefault="001A1A3D" w:rsidP="00DA47C0">
      <w:pPr>
        <w:pStyle w:val="Bulletpoint"/>
      </w:pPr>
      <w:r w:rsidRPr="00DA47C0">
        <w:t>WAL number of ‘buyer’</w:t>
      </w:r>
    </w:p>
    <w:p w:rsidR="001A1A3D" w:rsidRPr="00DA47C0" w:rsidRDefault="001A1A3D" w:rsidP="00DA47C0">
      <w:pPr>
        <w:pStyle w:val="Bulletpoint"/>
      </w:pPr>
      <w:r w:rsidRPr="00DA47C0">
        <w:t>volume of share component traded</w:t>
      </w:r>
    </w:p>
    <w:p w:rsidR="001A1A3D" w:rsidRPr="00DA47C0" w:rsidRDefault="001A1A3D" w:rsidP="00DA47C0">
      <w:pPr>
        <w:pStyle w:val="Bulletpoint"/>
      </w:pPr>
      <w:r w:rsidRPr="00DA47C0">
        <w:t>date trade occurred.</w:t>
      </w:r>
    </w:p>
    <w:p w:rsidR="001A1A3D" w:rsidRDefault="001A1A3D" w:rsidP="001A1A3D">
      <w:r>
        <w:t>Using volume and date information reported by operators, individual transformations can be matched to NSW registry data. However, in some cases data is not exactly matched – this could occur, for example, if the operator gave effect to multiple transformations via a single share component trade. Accordingly, the following process was sequentially applied to match operator-reported transformation data with NSW registry data:</w:t>
      </w:r>
    </w:p>
    <w:p w:rsidR="001A1A3D" w:rsidRDefault="001A1A3D" w:rsidP="00FE0CD2">
      <w:pPr>
        <w:pStyle w:val="LegalNumbering"/>
      </w:pPr>
      <w:r w:rsidRPr="004410A7">
        <w:rPr>
          <w:rStyle w:val="Strong"/>
        </w:rPr>
        <w:t>exact, individual matches</w:t>
      </w:r>
      <w:r>
        <w:t>: operator reported volume, date and security information matches exactly and uniquely with a record in the NSW registry</w:t>
      </w:r>
    </w:p>
    <w:p w:rsidR="001A1A3D" w:rsidRDefault="001A1A3D" w:rsidP="00FE0CD2">
      <w:pPr>
        <w:pStyle w:val="LegalNumbering"/>
      </w:pPr>
      <w:r w:rsidRPr="004410A7">
        <w:rPr>
          <w:rStyle w:val="Strong"/>
        </w:rPr>
        <w:t>exact, joint matches</w:t>
      </w:r>
      <w:r>
        <w:t>: operator reported multiple transformations listing the same date, and sum of volume, date and security information matches exactly and uniquely with a record in the NSW registry</w:t>
      </w:r>
    </w:p>
    <w:p w:rsidR="001A1A3D" w:rsidRDefault="001A1A3D" w:rsidP="00FE0CD2">
      <w:pPr>
        <w:pStyle w:val="LegalNumbering"/>
      </w:pPr>
      <w:r>
        <w:rPr>
          <w:rStyle w:val="Strong"/>
        </w:rPr>
        <w:t xml:space="preserve">inexact, individual matches (I): </w:t>
      </w:r>
      <w:r>
        <w:t>operator reported volume and security information matches exactly and uniquely with a record in the NSW registry, and date reported by operator is reasonably close to that recorded in registry.</w:t>
      </w:r>
    </w:p>
    <w:p w:rsidR="001A1A3D" w:rsidRDefault="001A1A3D" w:rsidP="00FE0CD2">
      <w:pPr>
        <w:pStyle w:val="LegalNumbering"/>
      </w:pPr>
      <w:r>
        <w:rPr>
          <w:rStyle w:val="Strong"/>
        </w:rPr>
        <w:t xml:space="preserve">inexact, individual matches (II): </w:t>
      </w:r>
      <w:r>
        <w:t>operator reported date and security information matches exactly and uniquely with a record in the NSW registry, and volume reported by operator differs to that recorded in registry by a small amount (e.g. &lt;10ML).</w:t>
      </w:r>
    </w:p>
    <w:p w:rsidR="001A1A3D" w:rsidRPr="00427EBA" w:rsidRDefault="001A1A3D" w:rsidP="00FE0CD2">
      <w:pPr>
        <w:pStyle w:val="LegalNumbering"/>
        <w:rPr>
          <w:rStyle w:val="Strong"/>
        </w:rPr>
      </w:pPr>
      <w:r w:rsidRPr="00427EBA">
        <w:rPr>
          <w:rStyle w:val="Strong"/>
        </w:rPr>
        <w:t>inexact, joint matches (I</w:t>
      </w:r>
      <w:r w:rsidR="00615198">
        <w:rPr>
          <w:rStyle w:val="Strong"/>
        </w:rPr>
        <w:t>II</w:t>
      </w:r>
      <w:r w:rsidRPr="00427EBA">
        <w:rPr>
          <w:rStyle w:val="Strong"/>
        </w:rPr>
        <w:t xml:space="preserve">): </w:t>
      </w:r>
      <w:r w:rsidRPr="00427EBA">
        <w:t xml:space="preserve">operator reported multiple transformations listing the same </w:t>
      </w:r>
      <w:r w:rsidR="004F56D3" w:rsidRPr="00427EBA">
        <w:t>dat</w:t>
      </w:r>
      <w:r w:rsidR="004F56D3">
        <w:t>e</w:t>
      </w:r>
      <w:r w:rsidR="004F56D3" w:rsidRPr="00427EBA">
        <w:t xml:space="preserve"> </w:t>
      </w:r>
      <w:r w:rsidRPr="00427EBA">
        <w:t>or a single large volume of irrigation right ‘cancelled’, and sum of volume, date and security information matches uniquely with a record in the NSW registry (in some cases additional information provided by the operator was also used) – matches of this type form a minority of matches found</w:t>
      </w:r>
      <w:r w:rsidRPr="00427EBA">
        <w:rPr>
          <w:rStyle w:val="Strong"/>
        </w:rPr>
        <w:t>.</w:t>
      </w:r>
    </w:p>
    <w:p w:rsidR="001A1A3D" w:rsidRDefault="001A1A3D" w:rsidP="00FE0CD2">
      <w:pPr>
        <w:pStyle w:val="LegalNumbering"/>
      </w:pPr>
      <w:r w:rsidRPr="00427EBA">
        <w:rPr>
          <w:rStyle w:val="Strong"/>
        </w:rPr>
        <w:lastRenderedPageBreak/>
        <w:t>inexact, joint matches (II):</w:t>
      </w:r>
      <w:r w:rsidRPr="00427EBA">
        <w:t xml:space="preserve"> operator reported multiple transformations listing the same data or a single large volume of irrigation right ‘cancelled’, and sum of volume, date and security information matches closely and uniquely with a record (or sum of several records) in the NSW registry (in some cases additional information provided by the operator was also used).</w:t>
      </w:r>
    </w:p>
    <w:p w:rsidR="001A1A3D" w:rsidRDefault="001A1A3D" w:rsidP="00DA47C0">
      <w:r>
        <w:t>The table below reports match types by reporting operator:</w:t>
      </w:r>
    </w:p>
    <w:p w:rsidR="001A1A3D" w:rsidRDefault="001A1A3D" w:rsidP="001A1A3D">
      <w:pPr>
        <w:pStyle w:val="Tabletitle"/>
      </w:pPr>
      <w:r>
        <w:t xml:space="preserve">Table 4.1: </w:t>
      </w:r>
      <w:r w:rsidR="009715E3">
        <w:t>Reported transformations, by operator and match type</w:t>
      </w:r>
    </w:p>
    <w:tbl>
      <w:tblPr>
        <w:tblW w:w="0" w:type="auto"/>
        <w:tblCellMar>
          <w:left w:w="0" w:type="dxa"/>
          <w:right w:w="0" w:type="dxa"/>
        </w:tblCellMar>
        <w:tblLook w:val="0420" w:firstRow="1" w:lastRow="0" w:firstColumn="0" w:lastColumn="0" w:noHBand="0" w:noVBand="1"/>
      </w:tblPr>
      <w:tblGrid>
        <w:gridCol w:w="1961"/>
        <w:gridCol w:w="617"/>
        <w:gridCol w:w="617"/>
        <w:gridCol w:w="506"/>
        <w:gridCol w:w="672"/>
        <w:gridCol w:w="617"/>
        <w:gridCol w:w="617"/>
        <w:gridCol w:w="1572"/>
        <w:gridCol w:w="1772"/>
      </w:tblGrid>
      <w:tr w:rsidR="004F56D3" w:rsidTr="00DA47C0">
        <w:trPr>
          <w:trHeight w:val="255"/>
        </w:trPr>
        <w:tc>
          <w:tcPr>
            <w:tcW w:w="0" w:type="auto"/>
            <w:tcBorders>
              <w:top w:val="single" w:sz="8" w:space="0" w:color="D5D6D2"/>
              <w:left w:val="single" w:sz="8" w:space="0" w:color="D5D6D2"/>
              <w:bottom w:val="single" w:sz="8" w:space="0" w:color="D5D6D2"/>
              <w:right w:val="single" w:sz="8" w:space="0" w:color="D5D6D2"/>
            </w:tcBorders>
            <w:noWrap/>
            <w:tcMar>
              <w:top w:w="0" w:type="dxa"/>
              <w:left w:w="108" w:type="dxa"/>
              <w:bottom w:w="0" w:type="dxa"/>
              <w:right w:w="108" w:type="dxa"/>
            </w:tcMar>
            <w:vAlign w:val="center"/>
          </w:tcPr>
          <w:p w:rsidR="004F56D3" w:rsidRDefault="004F56D3">
            <w:pPr>
              <w:pStyle w:val="Tabletext"/>
              <w:rPr>
                <w:b/>
                <w:bCs/>
                <w:lang w:eastAsia="en-AU"/>
              </w:rPr>
            </w:pPr>
          </w:p>
        </w:tc>
        <w:tc>
          <w:tcPr>
            <w:tcW w:w="0" w:type="auto"/>
            <w:gridSpan w:val="6"/>
            <w:tcBorders>
              <w:top w:val="single" w:sz="8" w:space="0" w:color="D5D6D2"/>
              <w:left w:val="nil"/>
              <w:bottom w:val="single" w:sz="8" w:space="0" w:color="D5D6D2"/>
              <w:right w:val="single" w:sz="8" w:space="0" w:color="D5D6D2"/>
            </w:tcBorders>
            <w:tcMar>
              <w:top w:w="0" w:type="dxa"/>
              <w:left w:w="108" w:type="dxa"/>
              <w:bottom w:w="0" w:type="dxa"/>
              <w:right w:w="108" w:type="dxa"/>
            </w:tcMar>
            <w:vAlign w:val="center"/>
            <w:hideMark/>
          </w:tcPr>
          <w:p w:rsidR="004F56D3" w:rsidRPr="00DA47C0" w:rsidRDefault="004F56D3">
            <w:pPr>
              <w:pStyle w:val="Tabletext-centred"/>
              <w:rPr>
                <w:rStyle w:val="Strong"/>
              </w:rPr>
            </w:pPr>
            <w:r w:rsidRPr="00DA47C0">
              <w:rPr>
                <w:rStyle w:val="Strong"/>
              </w:rPr>
              <w:t>Match type</w:t>
            </w:r>
          </w:p>
        </w:tc>
        <w:tc>
          <w:tcPr>
            <w:tcW w:w="0" w:type="auto"/>
            <w:tcBorders>
              <w:top w:val="single" w:sz="8" w:space="0" w:color="D5D6D2"/>
              <w:left w:val="nil"/>
              <w:bottom w:val="single" w:sz="8" w:space="0" w:color="D5D6D2"/>
              <w:right w:val="single" w:sz="8" w:space="0" w:color="D5D6D2"/>
            </w:tcBorders>
            <w:noWrap/>
            <w:tcMar>
              <w:top w:w="0" w:type="dxa"/>
              <w:left w:w="108" w:type="dxa"/>
              <w:bottom w:w="0" w:type="dxa"/>
              <w:right w:w="108" w:type="dxa"/>
            </w:tcMar>
            <w:vAlign w:val="center"/>
          </w:tcPr>
          <w:p w:rsidR="004F56D3" w:rsidRDefault="004F56D3">
            <w:pPr>
              <w:pStyle w:val="Tabletext"/>
              <w:rPr>
                <w:rStyle w:val="Strong"/>
                <w:b w:val="0"/>
                <w:bCs w:val="0"/>
              </w:rPr>
            </w:pPr>
          </w:p>
        </w:tc>
        <w:tc>
          <w:tcPr>
            <w:tcW w:w="0" w:type="auto"/>
            <w:vMerge w:val="restart"/>
            <w:tcBorders>
              <w:top w:val="single" w:sz="8" w:space="0" w:color="D5D6D2"/>
              <w:left w:val="nil"/>
              <w:bottom w:val="single" w:sz="8" w:space="0" w:color="D5D6D2"/>
              <w:right w:val="single" w:sz="8" w:space="0" w:color="D5D6D2"/>
            </w:tcBorders>
            <w:tcMar>
              <w:top w:w="0" w:type="dxa"/>
              <w:left w:w="108" w:type="dxa"/>
              <w:bottom w:w="0" w:type="dxa"/>
              <w:right w:w="108" w:type="dxa"/>
            </w:tcMar>
            <w:vAlign w:val="center"/>
            <w:hideMark/>
          </w:tcPr>
          <w:p w:rsidR="004F56D3" w:rsidRPr="00DA47C0" w:rsidRDefault="004F56D3">
            <w:pPr>
              <w:pStyle w:val="Tabletext-right"/>
              <w:rPr>
                <w:rStyle w:val="Strong"/>
              </w:rPr>
            </w:pPr>
            <w:r w:rsidRPr="00DA47C0">
              <w:rPr>
                <w:rStyle w:val="Strong"/>
              </w:rPr>
              <w:t>Match not found</w:t>
            </w: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rPr>
                <w:rStyle w:val="Strong"/>
              </w:rPr>
            </w:pPr>
            <w:r w:rsidRPr="00DA47C0">
              <w:rPr>
                <w:rStyle w:val="Strong"/>
              </w:rPr>
              <w:t>Operator</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rStyle w:val="Strong"/>
              </w:rPr>
            </w:pPr>
            <w:r>
              <w:rPr>
                <w:rStyle w:val="Strong"/>
                <w:lang w:eastAsia="en-AU"/>
              </w:rPr>
              <w:t>1</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rStyle w:val="Strong"/>
              </w:rPr>
            </w:pPr>
            <w:r>
              <w:rPr>
                <w:rStyle w:val="Strong"/>
                <w:lang w:eastAsia="en-AU"/>
              </w:rPr>
              <w:t>2</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rStyle w:val="Strong"/>
              </w:rPr>
            </w:pPr>
            <w:r>
              <w:rPr>
                <w:rStyle w:val="Strong"/>
                <w:lang w:eastAsia="en-AU"/>
              </w:rPr>
              <w:t>3</w:t>
            </w:r>
            <w:r>
              <w:rPr>
                <w:rStyle w:val="CommentReference"/>
              </w:rPr>
              <w:t> </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hideMark/>
          </w:tcPr>
          <w:p w:rsidR="004F56D3" w:rsidRPr="004F56D3" w:rsidRDefault="004F56D3">
            <w:pPr>
              <w:pStyle w:val="Tabletext-right"/>
              <w:rPr>
                <w:rStyle w:val="Strong"/>
              </w:rPr>
            </w:pPr>
            <w:r w:rsidRPr="004F56D3">
              <w:rPr>
                <w:rStyle w:val="Strong"/>
              </w:rPr>
              <w:t>4</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rStyle w:val="Strong"/>
              </w:rPr>
            </w:pPr>
            <w:r w:rsidRPr="004F56D3">
              <w:rPr>
                <w:rStyle w:val="Strong"/>
                <w:lang w:eastAsia="en-AU"/>
              </w:rPr>
              <w:t>5</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rStyle w:val="Strong"/>
              </w:rPr>
            </w:pPr>
            <w:r w:rsidRPr="004F56D3">
              <w:rPr>
                <w:rStyle w:val="Strong"/>
                <w:lang w:eastAsia="en-AU"/>
              </w:rPr>
              <w:t>6</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rStyle w:val="Strong"/>
              </w:rPr>
            </w:pPr>
            <w:r w:rsidRPr="004F56D3">
              <w:rPr>
                <w:rStyle w:val="Strong"/>
                <w:lang w:eastAsia="en-AU"/>
              </w:rPr>
              <w:t>Total matched</w:t>
            </w:r>
          </w:p>
        </w:tc>
        <w:tc>
          <w:tcPr>
            <w:tcW w:w="0" w:type="auto"/>
            <w:vMerge/>
            <w:tcBorders>
              <w:top w:val="single" w:sz="8" w:space="0" w:color="D5D6D2"/>
              <w:left w:val="nil"/>
              <w:bottom w:val="single" w:sz="8" w:space="0" w:color="D5D6D2"/>
              <w:right w:val="single" w:sz="8" w:space="0" w:color="D5D6D2"/>
            </w:tcBorders>
            <w:vAlign w:val="center"/>
            <w:hideMark/>
          </w:tcPr>
          <w:p w:rsidR="004F56D3" w:rsidRDefault="004F56D3">
            <w:pPr>
              <w:spacing w:before="0"/>
              <w:rPr>
                <w:rFonts w:cs="Arial"/>
                <w:b/>
                <w:bCs/>
                <w:sz w:val="20"/>
                <w:szCs w:val="20"/>
                <w:lang w:eastAsia="en-AU"/>
              </w:rPr>
            </w:pPr>
          </w:p>
        </w:tc>
      </w:tr>
      <w:tr w:rsidR="004F56D3" w:rsidTr="00DA47C0">
        <w:trPr>
          <w:trHeight w:val="76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pPr>
            <w:r w:rsidRPr="00DA47C0">
              <w:t>CICL</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39</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137</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2</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Pr="004F56D3" w:rsidRDefault="004F56D3">
            <w:pPr>
              <w:pStyle w:val="Tabletext-right"/>
              <w:rPr>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23</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59</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260</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Default="004F56D3">
            <w:pPr>
              <w:pStyle w:val="Tabletext-right"/>
              <w:rPr>
                <w:lang w:eastAsia="en-AU"/>
              </w:rPr>
            </w:pP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pPr>
            <w:r w:rsidRPr="00DA47C0">
              <w:t>HPID</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9</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4</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4</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Pr="004F56D3" w:rsidRDefault="004F56D3">
            <w:pPr>
              <w:pStyle w:val="Tabletext-right"/>
              <w:rPr>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17</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Default="004F56D3">
            <w:pPr>
              <w:pStyle w:val="Tabletext-right"/>
              <w:rPr>
                <w:lang w:eastAsia="en-AU"/>
              </w:rPr>
            </w:pP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pPr>
            <w:r w:rsidRPr="00DA47C0">
              <w:t>JIL</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8</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3</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Pr="004F56D3" w:rsidRDefault="004F56D3">
            <w:pPr>
              <w:pStyle w:val="Tabletext-right"/>
              <w:rPr>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11</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Default="004F56D3">
            <w:pPr>
              <w:pStyle w:val="Tabletext-right"/>
              <w:rPr>
                <w:lang w:eastAsia="en-AU"/>
              </w:rPr>
            </w:pP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pPr>
            <w:r w:rsidRPr="00DA47C0">
              <w:t>MI</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67</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19</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25</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1</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16</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7</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135</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Default="004F56D3">
            <w:pPr>
              <w:pStyle w:val="Tabletext-right"/>
              <w:rPr>
                <w:lang w:eastAsia="en-AU"/>
              </w:rPr>
            </w:pP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pPr>
            <w:r w:rsidRPr="00DA47C0">
              <w:t>MIL</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39</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9</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Pr="004F56D3" w:rsidRDefault="004F56D3">
            <w:pPr>
              <w:pStyle w:val="Tabletext-right"/>
              <w:rPr>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83</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28</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159</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Default="004F56D3">
            <w:pPr>
              <w:pStyle w:val="Tabletext-right"/>
              <w:rPr>
                <w:lang w:eastAsia="en-AU"/>
              </w:rPr>
            </w:pP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pPr>
            <w:r w:rsidRPr="00DA47C0">
              <w:t>MPID</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3</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1</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Pr="004F56D3" w:rsidRDefault="004F56D3">
            <w:pPr>
              <w:pStyle w:val="Tabletext-right"/>
              <w:rPr>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3</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7</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Default="004F56D3">
            <w:pPr>
              <w:pStyle w:val="Tabletext-right"/>
              <w:rPr>
                <w:lang w:eastAsia="en-AU"/>
              </w:rPr>
            </w:pP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pPr>
            <w:r w:rsidRPr="00DA47C0">
              <w:t>NIBM</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2</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Pr="004F56D3" w:rsidRDefault="004F56D3">
            <w:pPr>
              <w:pStyle w:val="Tabletext-right"/>
              <w:rPr>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1</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3</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Default="004F56D3">
            <w:pPr>
              <w:pStyle w:val="Tabletext-right"/>
              <w:rPr>
                <w:lang w:eastAsia="en-AU"/>
              </w:rPr>
            </w:pP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pPr>
            <w:r w:rsidRPr="00DA47C0">
              <w:t>WC</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3</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Pr="004F56D3" w:rsidRDefault="004F56D3">
            <w:pPr>
              <w:pStyle w:val="Tabletext-right"/>
              <w:rPr>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3</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Default="004F56D3">
            <w:pPr>
              <w:pStyle w:val="Tabletext-right"/>
              <w:rPr>
                <w:lang w:eastAsia="en-AU"/>
              </w:rPr>
            </w:pP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pPr>
            <w:r w:rsidRPr="00DA47C0">
              <w:t>WMI</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114</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59</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lang w:eastAsia="en-AU"/>
              </w:rPr>
            </w:pPr>
            <w:r>
              <w:rPr>
                <w:lang w:eastAsia="en-AU"/>
              </w:rPr>
              <w:t>3</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1</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spacing w:before="0"/>
              <w:rPr>
                <w:rFonts w:ascii="Times New Roman" w:eastAsia="Times New Roman" w:hAnsi="Times New Roman" w:cs="Times New Roman"/>
                <w:sz w:val="20"/>
                <w:szCs w:val="20"/>
                <w:lang w:eastAsia="en-AU"/>
              </w:rPr>
            </w:pP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lang w:eastAsia="en-AU"/>
              </w:rPr>
            </w:pPr>
            <w:r w:rsidRPr="004F56D3">
              <w:rPr>
                <w:lang w:eastAsia="en-AU"/>
              </w:rPr>
              <w:t>177</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tcPr>
          <w:p w:rsidR="004F56D3" w:rsidRDefault="004F56D3">
            <w:pPr>
              <w:pStyle w:val="Tabletext-right"/>
              <w:rPr>
                <w:lang w:eastAsia="en-AU"/>
              </w:rPr>
            </w:pP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rPr>
                <w:rStyle w:val="Strong"/>
              </w:rPr>
            </w:pPr>
            <w:r w:rsidRPr="00DA47C0">
              <w:rPr>
                <w:rStyle w:val="Strong"/>
              </w:rPr>
              <w:t>Total</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rStyle w:val="Strong"/>
              </w:rPr>
            </w:pPr>
            <w:r>
              <w:rPr>
                <w:rStyle w:val="Strong"/>
                <w:lang w:eastAsia="en-AU"/>
              </w:rPr>
              <w:t>282</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rStyle w:val="Strong"/>
              </w:rPr>
            </w:pPr>
            <w:r>
              <w:rPr>
                <w:rStyle w:val="Strong"/>
                <w:lang w:eastAsia="en-AU"/>
              </w:rPr>
              <w:t>219</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Default="004F56D3">
            <w:pPr>
              <w:pStyle w:val="Tabletext-right"/>
              <w:rPr>
                <w:rStyle w:val="Strong"/>
              </w:rPr>
            </w:pPr>
            <w:r>
              <w:rPr>
                <w:rStyle w:val="Strong"/>
                <w:lang w:eastAsia="en-AU"/>
              </w:rPr>
              <w:t>49</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hideMark/>
          </w:tcPr>
          <w:p w:rsidR="004F56D3" w:rsidRPr="004F56D3" w:rsidRDefault="004F56D3">
            <w:pPr>
              <w:pStyle w:val="Tabletext-right"/>
              <w:rPr>
                <w:rStyle w:val="Strong"/>
              </w:rPr>
            </w:pPr>
            <w:r w:rsidRPr="004F56D3">
              <w:rPr>
                <w:rStyle w:val="Strong"/>
              </w:rPr>
              <w:t>2</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rStyle w:val="Strong"/>
              </w:rPr>
            </w:pPr>
            <w:r w:rsidRPr="004F56D3">
              <w:rPr>
                <w:rStyle w:val="Strong"/>
                <w:lang w:eastAsia="en-AU"/>
              </w:rPr>
              <w:t>125</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rStyle w:val="Strong"/>
              </w:rPr>
            </w:pPr>
            <w:r w:rsidRPr="004F56D3">
              <w:rPr>
                <w:rStyle w:val="Strong"/>
                <w:lang w:eastAsia="en-AU"/>
              </w:rPr>
              <w:t>95</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rStyle w:val="Strong"/>
              </w:rPr>
            </w:pPr>
            <w:r w:rsidRPr="004F56D3">
              <w:rPr>
                <w:rStyle w:val="Strong"/>
                <w:lang w:eastAsia="en-AU"/>
              </w:rPr>
              <w:t>772</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hideMark/>
          </w:tcPr>
          <w:p w:rsidR="004F56D3" w:rsidRDefault="004F56D3">
            <w:pPr>
              <w:pStyle w:val="Tabletext-right"/>
              <w:rPr>
                <w:rStyle w:val="Strong"/>
              </w:rPr>
            </w:pPr>
            <w:r>
              <w:rPr>
                <w:rStyle w:val="Strong"/>
                <w:lang w:eastAsia="en-AU"/>
              </w:rPr>
              <w:t>189</w:t>
            </w:r>
          </w:p>
        </w:tc>
      </w:tr>
      <w:tr w:rsidR="004F56D3" w:rsidTr="00DA47C0">
        <w:trPr>
          <w:trHeight w:val="255"/>
        </w:trPr>
        <w:tc>
          <w:tcPr>
            <w:tcW w:w="0" w:type="auto"/>
            <w:tcBorders>
              <w:top w:val="nil"/>
              <w:left w:val="single" w:sz="8" w:space="0" w:color="D5D6D2"/>
              <w:bottom w:val="single" w:sz="8" w:space="0" w:color="D5D6D2"/>
              <w:right w:val="single" w:sz="8" w:space="0" w:color="D5D6D2"/>
            </w:tcBorders>
            <w:noWrap/>
            <w:tcMar>
              <w:top w:w="0" w:type="dxa"/>
              <w:left w:w="108" w:type="dxa"/>
              <w:bottom w:w="0" w:type="dxa"/>
              <w:right w:w="108" w:type="dxa"/>
            </w:tcMar>
            <w:vAlign w:val="center"/>
            <w:hideMark/>
          </w:tcPr>
          <w:p w:rsidR="004F56D3" w:rsidRPr="00DA47C0" w:rsidRDefault="004F56D3">
            <w:pPr>
              <w:pStyle w:val="Tabletext"/>
              <w:rPr>
                <w:rStyle w:val="Strong"/>
                <w:i/>
              </w:rPr>
            </w:pPr>
            <w:r w:rsidRPr="00DA47C0">
              <w:rPr>
                <w:rStyle w:val="Strong"/>
                <w:i/>
              </w:rPr>
              <w:t>Proportion of total</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bottom"/>
            <w:hideMark/>
          </w:tcPr>
          <w:p w:rsidR="004F56D3" w:rsidRDefault="004F56D3">
            <w:pPr>
              <w:pStyle w:val="Tabletext-right"/>
              <w:rPr>
                <w:rStyle w:val="Emphasis"/>
              </w:rPr>
            </w:pPr>
            <w:r>
              <w:rPr>
                <w:rStyle w:val="Emphasis"/>
                <w:lang w:eastAsia="en-AU"/>
              </w:rPr>
              <w:t>29%</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bottom"/>
            <w:hideMark/>
          </w:tcPr>
          <w:p w:rsidR="004F56D3" w:rsidRDefault="004F56D3">
            <w:pPr>
              <w:pStyle w:val="Tabletext-right"/>
              <w:rPr>
                <w:rStyle w:val="Emphasis"/>
              </w:rPr>
            </w:pPr>
            <w:r>
              <w:rPr>
                <w:rStyle w:val="Emphasis"/>
                <w:lang w:eastAsia="en-AU"/>
              </w:rPr>
              <w:t>23%</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bottom"/>
            <w:hideMark/>
          </w:tcPr>
          <w:p w:rsidR="004F56D3" w:rsidRDefault="004F56D3">
            <w:pPr>
              <w:pStyle w:val="Tabletext-right"/>
              <w:rPr>
                <w:rStyle w:val="Emphasis"/>
              </w:rPr>
            </w:pPr>
            <w:r>
              <w:rPr>
                <w:rStyle w:val="Emphasis"/>
                <w:lang w:eastAsia="en-AU"/>
              </w:rPr>
              <w:t>5%</w:t>
            </w: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hideMark/>
          </w:tcPr>
          <w:p w:rsidR="004F56D3" w:rsidRPr="004F56D3" w:rsidRDefault="004F56D3">
            <w:pPr>
              <w:pStyle w:val="Tabletext-right"/>
              <w:rPr>
                <w:rStyle w:val="Emphasis"/>
              </w:rPr>
            </w:pPr>
            <w:r w:rsidRPr="004F56D3">
              <w:rPr>
                <w:rStyle w:val="Emphasis"/>
              </w:rPr>
              <w:t>0.2%</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bottom"/>
            <w:hideMark/>
          </w:tcPr>
          <w:p w:rsidR="004F56D3" w:rsidRPr="004F56D3" w:rsidRDefault="004F56D3">
            <w:pPr>
              <w:pStyle w:val="Tabletext-right"/>
              <w:rPr>
                <w:rStyle w:val="Emphasis"/>
              </w:rPr>
            </w:pPr>
            <w:r w:rsidRPr="004F56D3">
              <w:rPr>
                <w:rStyle w:val="Emphasis"/>
                <w:lang w:eastAsia="en-AU"/>
              </w:rPr>
              <w:t>13%</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hideMark/>
          </w:tcPr>
          <w:p w:rsidR="004F56D3" w:rsidRPr="004F56D3" w:rsidRDefault="004F56D3">
            <w:pPr>
              <w:pStyle w:val="Tabletext-right"/>
              <w:rPr>
                <w:rStyle w:val="Emphasis"/>
              </w:rPr>
            </w:pPr>
            <w:r w:rsidRPr="004F56D3">
              <w:rPr>
                <w:rStyle w:val="Emphasis"/>
                <w:lang w:eastAsia="en-AU"/>
              </w:rPr>
              <w:t>10%</w:t>
            </w:r>
          </w:p>
        </w:tc>
        <w:tc>
          <w:tcPr>
            <w:tcW w:w="0" w:type="auto"/>
            <w:tcBorders>
              <w:top w:val="nil"/>
              <w:left w:val="nil"/>
              <w:bottom w:val="single" w:sz="8" w:space="0" w:color="D5D6D2"/>
              <w:right w:val="single" w:sz="8" w:space="0" w:color="D5D6D2"/>
            </w:tcBorders>
            <w:noWrap/>
            <w:tcMar>
              <w:top w:w="0" w:type="dxa"/>
              <w:left w:w="108" w:type="dxa"/>
              <w:bottom w:w="0" w:type="dxa"/>
              <w:right w:w="108" w:type="dxa"/>
            </w:tcMar>
            <w:vAlign w:val="center"/>
          </w:tcPr>
          <w:p w:rsidR="004F56D3" w:rsidRPr="004F56D3" w:rsidRDefault="004F56D3">
            <w:pPr>
              <w:pStyle w:val="Tabletext-right"/>
              <w:rPr>
                <w:rStyle w:val="Emphasis"/>
              </w:rPr>
            </w:pPr>
          </w:p>
        </w:tc>
        <w:tc>
          <w:tcPr>
            <w:tcW w:w="0" w:type="auto"/>
            <w:tcBorders>
              <w:top w:val="nil"/>
              <w:left w:val="nil"/>
              <w:bottom w:val="single" w:sz="8" w:space="0" w:color="D5D6D2"/>
              <w:right w:val="single" w:sz="8" w:space="0" w:color="D5D6D2"/>
            </w:tcBorders>
            <w:tcMar>
              <w:top w:w="0" w:type="dxa"/>
              <w:left w:w="108" w:type="dxa"/>
              <w:bottom w:w="0" w:type="dxa"/>
              <w:right w:w="108" w:type="dxa"/>
            </w:tcMar>
            <w:vAlign w:val="center"/>
            <w:hideMark/>
          </w:tcPr>
          <w:p w:rsidR="004F56D3" w:rsidRDefault="004F56D3">
            <w:pPr>
              <w:pStyle w:val="Tabletext-right"/>
              <w:rPr>
                <w:rStyle w:val="Emphasis"/>
              </w:rPr>
            </w:pPr>
            <w:r>
              <w:rPr>
                <w:rStyle w:val="Emphasis"/>
                <w:lang w:eastAsia="en-AU"/>
              </w:rPr>
              <w:t>20%</w:t>
            </w:r>
          </w:p>
        </w:tc>
      </w:tr>
    </w:tbl>
    <w:p w:rsidR="001A1A3D" w:rsidRDefault="001A1A3D" w:rsidP="001A1A3D">
      <w:r>
        <w:t>The NSW Environmental Water Register provides information on:</w:t>
      </w:r>
    </w:p>
    <w:p w:rsidR="001A1A3D" w:rsidRPr="00DA47C0" w:rsidRDefault="001A1A3D" w:rsidP="00DA47C0">
      <w:pPr>
        <w:pStyle w:val="Bulletpoint"/>
      </w:pPr>
      <w:r w:rsidRPr="00DA47C0">
        <w:t xml:space="preserve">Licensed </w:t>
      </w:r>
      <w:r w:rsidR="0001020D" w:rsidRPr="00DA47C0">
        <w:t>environmental water</w:t>
      </w:r>
    </w:p>
    <w:p w:rsidR="001A1A3D" w:rsidRPr="00DA47C0" w:rsidRDefault="001A1A3D" w:rsidP="00DA47C0">
      <w:pPr>
        <w:pStyle w:val="Bulletpoint"/>
      </w:pPr>
      <w:r w:rsidRPr="00DA47C0">
        <w:t>Environmental water set aside as</w:t>
      </w:r>
      <w:r w:rsidR="0001020D" w:rsidRPr="00DA47C0">
        <w:t xml:space="preserve"> ‘rules’ in water sharing plans</w:t>
      </w:r>
    </w:p>
    <w:p w:rsidR="001A1A3D" w:rsidRPr="00DA47C0" w:rsidRDefault="001A1A3D" w:rsidP="00DA47C0">
      <w:pPr>
        <w:pStyle w:val="Bulletpoint"/>
      </w:pPr>
      <w:r w:rsidRPr="00DA47C0">
        <w:t>Environmental Water Use Plans approved by the relevant NSW Minister.</w:t>
      </w:r>
      <w:r w:rsidRPr="00DA47C0">
        <w:rPr>
          <w:rStyle w:val="FootnoteReference"/>
        </w:rPr>
        <w:footnoteReference w:id="66"/>
      </w:r>
    </w:p>
    <w:p w:rsidR="001A1A3D" w:rsidRDefault="001A1A3D" w:rsidP="001A1A3D">
      <w:r>
        <w:t xml:space="preserve">This register provides a list of NSW WALs that are held by environmental holders. Once transformation records have been matched to NSW registry data, the ‘buyer’ WAL number in the NSW registry can be matched to the list of environmental WALs in the NSW Environmental Water Register. </w:t>
      </w:r>
    </w:p>
    <w:p w:rsidR="00897AA5" w:rsidRDefault="001A1A3D" w:rsidP="00897AA5">
      <w:r>
        <w:t xml:space="preserve">Thus, the data reported in Chart 6.3 shows the volume of irrigation right transformed that can be traced via registry data to an environmental water holder (EWH) buyer. This dataset does not capture transactions where transformation results in trade of share component to a WAL held by a non-EWH party, but for which trade to an EWH subsequently occurred. An example of such a transaction could be where a transforming irrigator nominates a broker as the holder of the water access entitlement resulting from transformation, but then subsequently trades this entitlement to an EWH. </w:t>
      </w:r>
    </w:p>
    <w:p w:rsidR="005A15F1" w:rsidRDefault="005A15F1" w:rsidP="005A15F1">
      <w:pPr>
        <w:pStyle w:val="Numbered11"/>
      </w:pPr>
      <w:bookmarkStart w:id="230" w:name="_Ref483917362"/>
      <w:bookmarkStart w:id="231" w:name="_Toc485303373"/>
      <w:r>
        <w:lastRenderedPageBreak/>
        <w:t xml:space="preserve">Methodology for Table 6.7: </w:t>
      </w:r>
      <w:r w:rsidRPr="005A15F1">
        <w:t>Basin States—water trade application charges, 2015-16</w:t>
      </w:r>
      <w:bookmarkEnd w:id="230"/>
      <w:bookmarkEnd w:id="231"/>
    </w:p>
    <w:p w:rsidR="005A15F1" w:rsidRDefault="005A15F1" w:rsidP="005A15F1">
      <w:r>
        <w:t>This section presents the assumptions and charge data necessary to calculate the water trade application charges set out in Table 6.7 in Chapter 6 of the report.</w:t>
      </w:r>
      <w:r w:rsidRPr="00EA0977">
        <w:t xml:space="preserve"> </w:t>
      </w:r>
    </w:p>
    <w:p w:rsidR="005A15F1" w:rsidRDefault="005A15F1" w:rsidP="005A15F1">
      <w:r>
        <w:t>The charge for a water trade application</w:t>
      </w:r>
      <w:r>
        <w:rPr>
          <w:rStyle w:val="FootnoteReference"/>
        </w:rPr>
        <w:footnoteReference w:id="67"/>
      </w:r>
      <w:r>
        <w:t xml:space="preserve"> presented in</w:t>
      </w:r>
      <w:r w:rsidDel="00B54E1D">
        <w:t xml:space="preserve"> </w:t>
      </w:r>
      <w:r>
        <w:t>the report is for a hypothetical water trade of 50 ML of water access entitlement or 50 ML of annual water allocation. Water trade processes differ slightly in each Basin State.</w:t>
      </w:r>
    </w:p>
    <w:p w:rsidR="005A15F1" w:rsidRDefault="005A15F1" w:rsidP="005A15F1">
      <w:r>
        <w:t>The analysis assumes that the trade involves both:</w:t>
      </w:r>
    </w:p>
    <w:p w:rsidR="005A15F1" w:rsidRDefault="005A15F1" w:rsidP="00DA47C0">
      <w:pPr>
        <w:pStyle w:val="Bulletpoint"/>
      </w:pPr>
      <w:r>
        <w:t>a change in the ownership of the right and</w:t>
      </w:r>
    </w:p>
    <w:p w:rsidR="005A15F1" w:rsidRDefault="005A15F1" w:rsidP="00DA47C0">
      <w:pPr>
        <w:pStyle w:val="Bulletpoint"/>
      </w:pPr>
      <w:r>
        <w:t xml:space="preserve">a change in the location at which water pertaining to the right can be extracted. </w:t>
      </w:r>
    </w:p>
    <w:p w:rsidR="005A15F1" w:rsidRDefault="005A15F1" w:rsidP="005A15F1">
      <w:r>
        <w:t>The analysis also assumes the following:</w:t>
      </w:r>
    </w:p>
    <w:p w:rsidR="005A15F1" w:rsidRDefault="005A15F1" w:rsidP="00DA47C0">
      <w:pPr>
        <w:pStyle w:val="Bulletpoint"/>
      </w:pPr>
      <w:r>
        <w:t>both buyer and seller have the necessary licences to engage in the trade (be it within a state or interstate)</w:t>
      </w:r>
    </w:p>
    <w:p w:rsidR="005A15F1" w:rsidRDefault="005A15F1" w:rsidP="00DA47C0">
      <w:pPr>
        <w:pStyle w:val="Bulletpoint"/>
      </w:pPr>
      <w:r>
        <w:t>the trade is from one regulated river system to another regulated water system that are hydrologically connected</w:t>
      </w:r>
      <w:r>
        <w:rPr>
          <w:rStyle w:val="FootnoteReference"/>
        </w:rPr>
        <w:footnoteReference w:id="68"/>
      </w:r>
    </w:p>
    <w:p w:rsidR="005A15F1" w:rsidRDefault="005A15F1" w:rsidP="00DA47C0">
      <w:pPr>
        <w:pStyle w:val="Bulletpoint"/>
      </w:pPr>
      <w:r>
        <w:t xml:space="preserve">the trade of the water access entitlement or water allocation took place between 1 July 2015 and 30 June 2016 </w:t>
      </w:r>
    </w:p>
    <w:p w:rsidR="005A15F1" w:rsidRDefault="005A15F1" w:rsidP="00DA47C0">
      <w:pPr>
        <w:pStyle w:val="Bulletpoint"/>
      </w:pPr>
      <w:r>
        <w:t>the buyer does not intend to change the category of the water access entitlement (for example, convert a water access entitlement for surface water to a water access entitlement for groundwater)</w:t>
      </w:r>
    </w:p>
    <w:p w:rsidR="005A15F1" w:rsidRDefault="005A15F1" w:rsidP="00DA47C0">
      <w:pPr>
        <w:pStyle w:val="Bulletpoint"/>
      </w:pPr>
      <w:r>
        <w:t>the buyer does not intend to change the reliability of the water access entitlement (for example, convert a high security water access entitlement to a general security entitlement)</w:t>
      </w:r>
    </w:p>
    <w:p w:rsidR="005A15F1" w:rsidRDefault="005A15F1" w:rsidP="00DA47C0">
      <w:pPr>
        <w:pStyle w:val="Bulletpoint"/>
      </w:pPr>
      <w:r>
        <w:t xml:space="preserve">the buyer is not intending to change/split the entitlement between properties (for example, a proportion of the water access entitlement is used on Property 1 and the remainder is used on Property 2) </w:t>
      </w:r>
    </w:p>
    <w:p w:rsidR="005A15F1" w:rsidRDefault="005A15F1" w:rsidP="00DA47C0">
      <w:pPr>
        <w:pStyle w:val="Bulletpoint"/>
      </w:pPr>
      <w:r>
        <w:t>only government (legislated) charges relating to the water trade are applicable (for example, it excludes broker fees or any off-river infrastructure operator charges for processing a water trade into or out of their network) and</w:t>
      </w:r>
    </w:p>
    <w:p w:rsidR="005A15F1" w:rsidRDefault="005A15F1" w:rsidP="00DA47C0">
      <w:pPr>
        <w:pStyle w:val="Bulletpoint"/>
      </w:pPr>
      <w:r>
        <w:t>any other administrative charges applied by a water authority are excluded.</w:t>
      </w:r>
    </w:p>
    <w:p w:rsidR="005A15F1" w:rsidRDefault="005A15F1" w:rsidP="005A15F1">
      <w:r>
        <w:t>For interstate trades, the applicable charge in both the state of origin and state of destination must be paid.</w:t>
      </w:r>
    </w:p>
    <w:p w:rsidR="005A15F1" w:rsidRDefault="005A15F1" w:rsidP="005A15F1">
      <w:r>
        <w:t>The data in the table does not cover any further administrative charges that might be applied by off-river infrastructure operators (see section 6.4.2 of main report).</w:t>
      </w:r>
    </w:p>
    <w:p w:rsidR="005A15F1" w:rsidRPr="005A15F1" w:rsidRDefault="005A15F1" w:rsidP="005A15F1">
      <w:pPr>
        <w:pStyle w:val="Numbered111"/>
      </w:pPr>
      <w:bookmarkStart w:id="232" w:name="_Toc485303374"/>
      <w:r w:rsidRPr="005A15F1">
        <w:t>Queensland</w:t>
      </w:r>
      <w:bookmarkEnd w:id="232"/>
    </w:p>
    <w:p w:rsidR="005A15F1" w:rsidRPr="005A15F1" w:rsidRDefault="005A15F1" w:rsidP="005A15F1">
      <w:r w:rsidRPr="005A15F1">
        <w:t>In 2015−16:</w:t>
      </w:r>
    </w:p>
    <w:p w:rsidR="005A15F1" w:rsidRPr="005A15F1" w:rsidRDefault="005A15F1" w:rsidP="00DA47C0">
      <w:pPr>
        <w:pStyle w:val="Bulletpoint"/>
      </w:pPr>
      <w:r w:rsidRPr="005A15F1">
        <w:t xml:space="preserve">DNRM applied a charge of $117.50 for an application to trade water entitlements or to change location. Water users conducting the trade are charged $168.60 to register the </w:t>
      </w:r>
      <w:r w:rsidRPr="005A15F1">
        <w:lastRenderedPageBreak/>
        <w:t>trade with the titles registry and must notify either DNRM or SunWater of the trade of water access entitlement.</w:t>
      </w:r>
    </w:p>
    <w:p w:rsidR="005A15F1" w:rsidRPr="005A15F1" w:rsidRDefault="005A15F1" w:rsidP="00DA47C0">
      <w:pPr>
        <w:pStyle w:val="Bulletpoint"/>
      </w:pPr>
      <w:r w:rsidRPr="005A15F1">
        <w:t xml:space="preserve">Buyers paid $117.50 for the first trade of the water season and a reduced fee for each subsequent trade. Users paid $168.60 to register the trade with the titles registry. The figure presented in the report, $286.10 is the sum of these two amounts. </w:t>
      </w:r>
    </w:p>
    <w:p w:rsidR="005A15F1" w:rsidRPr="00BD3DAB" w:rsidRDefault="005A15F1" w:rsidP="00DA47C0">
      <w:pPr>
        <w:pStyle w:val="Bulletpoint"/>
      </w:pPr>
      <w:r w:rsidRPr="00BD3DAB">
        <w:t xml:space="preserve">For trade of water allocation (referred to as a </w:t>
      </w:r>
      <w:r w:rsidR="00C524FC" w:rsidRPr="00BD3DAB">
        <w:t>‘</w:t>
      </w:r>
      <w:r w:rsidRPr="00BD3DAB">
        <w:t>seasonal allocation</w:t>
      </w:r>
      <w:r w:rsidR="00C524FC" w:rsidRPr="00BD3DAB">
        <w:t>’</w:t>
      </w:r>
      <w:r w:rsidRPr="00BD3DAB">
        <w:t xml:space="preserve"> in Queensland) of unsupplemented or supplemented water</w:t>
      </w:r>
      <w:r w:rsidRPr="00F90601">
        <w:rPr>
          <w:rStyle w:val="FootnoteReference"/>
        </w:rPr>
        <w:footnoteReference w:id="69"/>
      </w:r>
      <w:r w:rsidRPr="00BD3DAB">
        <w:t>, a charge of $156.80 applie</w:t>
      </w:r>
      <w:r w:rsidR="00B924CA" w:rsidRPr="00BD3DAB">
        <w:t>d</w:t>
      </w:r>
      <w:r w:rsidRPr="00BD3DAB">
        <w:t>. SunWater is required to approve a trade of allocation in supplemented systems</w:t>
      </w:r>
      <w:r w:rsidRPr="00F90601">
        <w:rPr>
          <w:rStyle w:val="FootnoteReference"/>
        </w:rPr>
        <w:footnoteReference w:id="70"/>
      </w:r>
      <w:r w:rsidRPr="00BD3DAB">
        <w:t>; however the water user is not required to pay any additional WPM charges to SunWater for this approval.</w:t>
      </w:r>
    </w:p>
    <w:p w:rsidR="005A15F1" w:rsidRDefault="005A15F1" w:rsidP="005A15F1">
      <w:r w:rsidRPr="005A15F1">
        <w:t xml:space="preserve">Schedule 16 </w:t>
      </w:r>
      <w:r>
        <w:t xml:space="preserve">in section </w:t>
      </w:r>
      <w:r>
        <w:fldChar w:fldCharType="begin"/>
      </w:r>
      <w:r>
        <w:instrText xml:space="preserve"> REF _Ref483917509 \r \h </w:instrText>
      </w:r>
      <w:r>
        <w:fldChar w:fldCharType="separate"/>
      </w:r>
      <w:r>
        <w:t>2.2.1</w:t>
      </w:r>
      <w:r>
        <w:fldChar w:fldCharType="end"/>
      </w:r>
      <w:r>
        <w:t xml:space="preserve"> </w:t>
      </w:r>
      <w:r w:rsidR="00C524FC">
        <w:t xml:space="preserve">contains further </w:t>
      </w:r>
      <w:r w:rsidRPr="005A15F1">
        <w:t xml:space="preserve">information relating to </w:t>
      </w:r>
      <w:r w:rsidR="00C524FC">
        <w:t xml:space="preserve">charges for processing </w:t>
      </w:r>
      <w:r w:rsidRPr="005A15F1">
        <w:t>application</w:t>
      </w:r>
      <w:r w:rsidR="00C524FC">
        <w:t>s</w:t>
      </w:r>
      <w:r w:rsidRPr="005A15F1">
        <w:t xml:space="preserve"> to trade water access entitlements</w:t>
      </w:r>
      <w:r w:rsidR="00C524FC">
        <w:t xml:space="preserve"> </w:t>
      </w:r>
      <w:r w:rsidR="00666C69">
        <w:t xml:space="preserve">and seasonal allocations </w:t>
      </w:r>
      <w:r w:rsidR="00C524FC">
        <w:t>in Queensland</w:t>
      </w:r>
      <w:r w:rsidRPr="005A15F1">
        <w:t>.</w:t>
      </w:r>
    </w:p>
    <w:p w:rsidR="005A15F1" w:rsidRDefault="00C524FC" w:rsidP="00C524FC">
      <w:pPr>
        <w:pStyle w:val="Numbered111"/>
      </w:pPr>
      <w:bookmarkStart w:id="233" w:name="_Toc485303375"/>
      <w:r>
        <w:t>New South Wales</w:t>
      </w:r>
      <w:bookmarkEnd w:id="233"/>
    </w:p>
    <w:p w:rsidR="00D1718E" w:rsidRDefault="00FE0CD2" w:rsidP="00D1718E">
      <w:r>
        <w:t>For</w:t>
      </w:r>
      <w:r w:rsidR="00D1718E">
        <w:t xml:space="preserve"> trading of water access entitlements, DPI Water is the </w:t>
      </w:r>
      <w:r>
        <w:t xml:space="preserve">trade </w:t>
      </w:r>
      <w:r w:rsidR="00D1718E">
        <w:t xml:space="preserve">approval authority. If the trade is approved, DPI Water provides the application to </w:t>
      </w:r>
      <w:r w:rsidR="00D1718E" w:rsidRPr="00A2254A">
        <w:t>NSW Land and Property Information</w:t>
      </w:r>
      <w:r w:rsidR="00D1718E">
        <w:t xml:space="preserve"> (LPI)</w:t>
      </w:r>
      <w:r w:rsidR="00D1718E" w:rsidRPr="00A2254A">
        <w:t xml:space="preserve"> </w:t>
      </w:r>
      <w:r w:rsidR="00D1718E">
        <w:t>who register</w:t>
      </w:r>
      <w:r w:rsidR="00B924CA">
        <w:t>s</w:t>
      </w:r>
      <w:r w:rsidR="00D1718E">
        <w:t xml:space="preserve"> the trade. In 2015−16:</w:t>
      </w:r>
    </w:p>
    <w:p w:rsidR="00D1718E" w:rsidRDefault="00D1718E" w:rsidP="00DA47C0">
      <w:pPr>
        <w:pStyle w:val="Bulletpoint"/>
      </w:pPr>
      <w:r w:rsidRPr="00A2254A">
        <w:t xml:space="preserve">DPI Water charged a </w:t>
      </w:r>
      <w:r w:rsidR="00B924CA">
        <w:t>‘</w:t>
      </w:r>
      <w:r w:rsidRPr="00A2254A">
        <w:t>water dealings charge</w:t>
      </w:r>
      <w:r w:rsidR="00B924CA">
        <w:t>’</w:t>
      </w:r>
      <w:r w:rsidRPr="00A2254A">
        <w:t xml:space="preserve"> of $391.23 to assess an application relating to the trade of a water access entitlement</w:t>
      </w:r>
      <w:r w:rsidR="00B924CA">
        <w:t xml:space="preserve"> (change of ownership)</w:t>
      </w:r>
      <w:r w:rsidRPr="00A2254A">
        <w:t>.</w:t>
      </w:r>
      <w:r>
        <w:t xml:space="preserve"> There is no additional fee relating to the change of location.</w:t>
      </w:r>
    </w:p>
    <w:p w:rsidR="00D1718E" w:rsidRDefault="00D1718E" w:rsidP="00DA47C0">
      <w:pPr>
        <w:pStyle w:val="Bulletpoint"/>
      </w:pPr>
      <w:r w:rsidRPr="00CE09A2">
        <w:t>NSW Land and Property Information charge</w:t>
      </w:r>
      <w:r w:rsidR="00B924CA">
        <w:t>d</w:t>
      </w:r>
      <w:r>
        <w:t xml:space="preserve"> </w:t>
      </w:r>
      <w:r w:rsidR="00B924CA">
        <w:t>a ‘</w:t>
      </w:r>
      <w:r>
        <w:t>Water Access License (WAL) Dealing Fee</w:t>
      </w:r>
      <w:r w:rsidR="00B924CA">
        <w:t>’</w:t>
      </w:r>
      <w:r>
        <w:t xml:space="preserve"> to register the trade.</w:t>
      </w:r>
      <w:r w:rsidRPr="004D52D0">
        <w:t xml:space="preserve"> </w:t>
      </w:r>
      <w:r>
        <w:t xml:space="preserve"> The fee for registering the water entitlement trade in 2015−16 </w:t>
      </w:r>
      <w:r w:rsidR="00B924CA">
        <w:t>wa</w:t>
      </w:r>
      <w:r>
        <w:t xml:space="preserve">s $105.50. </w:t>
      </w:r>
    </w:p>
    <w:p w:rsidR="00D1718E" w:rsidRPr="00A2254A" w:rsidRDefault="00D1718E" w:rsidP="00DA47C0">
      <w:pPr>
        <w:pStyle w:val="Bulletpoint"/>
      </w:pPr>
      <w:r w:rsidRPr="00A2254A">
        <w:t>Once the assessment is completed, the application is provide</w:t>
      </w:r>
      <w:r>
        <w:t>d</w:t>
      </w:r>
      <w:r w:rsidRPr="00A2254A">
        <w:t xml:space="preserve"> to </w:t>
      </w:r>
      <w:r>
        <w:t xml:space="preserve">LPI for registration </w:t>
      </w:r>
      <w:r w:rsidRPr="00A2254A">
        <w:t>and the irrigator is provided with a copy of the amended licence. Th</w:t>
      </w:r>
      <w:r>
        <w:t>e</w:t>
      </w:r>
      <w:r w:rsidRPr="00A2254A">
        <w:t xml:space="preserve"> process </w:t>
      </w:r>
      <w:r w:rsidRPr="001E60EE">
        <w:t>attracts the same two registry charges applied when the trade does not include a change in location.</w:t>
      </w:r>
      <w:r w:rsidRPr="00F90601">
        <w:rPr>
          <w:rStyle w:val="FootnoteReference"/>
        </w:rPr>
        <w:footnoteReference w:id="71"/>
      </w:r>
    </w:p>
    <w:p w:rsidR="00D1718E" w:rsidRDefault="00D1718E" w:rsidP="00D1718E">
      <w:r w:rsidRPr="00B15BE0">
        <w:t>For a water allocation trade, WaterNSW applie</w:t>
      </w:r>
      <w:r w:rsidR="00B924CA">
        <w:t>d</w:t>
      </w:r>
      <w:r w:rsidRPr="00B15BE0">
        <w:t xml:space="preserve"> a $38.50 application charge </w:t>
      </w:r>
      <w:r w:rsidR="00B924CA">
        <w:t xml:space="preserve">plus </w:t>
      </w:r>
      <w:r w:rsidRPr="00B15BE0">
        <w:t>$0.51 per ML charge for the volume of water</w:t>
      </w:r>
      <w:r w:rsidR="00B924CA">
        <w:t xml:space="preserve"> allocation traded,</w:t>
      </w:r>
      <w:r w:rsidRPr="00B15BE0">
        <w:t xml:space="preserve"> with a maximum </w:t>
      </w:r>
      <w:r w:rsidR="00B924CA">
        <w:t xml:space="preserve">charge </w:t>
      </w:r>
      <w:r w:rsidRPr="00B15BE0">
        <w:t>of $151.99.</w:t>
      </w:r>
    </w:p>
    <w:p w:rsidR="00291F9C" w:rsidRDefault="00C12952" w:rsidP="00291F9C">
      <w:r>
        <w:t>S</w:t>
      </w:r>
      <w:r w:rsidR="00291F9C">
        <w:t xml:space="preserve">ection 2.2.2 </w:t>
      </w:r>
      <w:r>
        <w:t xml:space="preserve">contains further </w:t>
      </w:r>
      <w:r w:rsidRPr="005A15F1">
        <w:t xml:space="preserve">information relating to </w:t>
      </w:r>
      <w:r>
        <w:t xml:space="preserve">charges for processing </w:t>
      </w:r>
      <w:r w:rsidRPr="005A15F1">
        <w:t>application</w:t>
      </w:r>
      <w:r>
        <w:t>s</w:t>
      </w:r>
      <w:r w:rsidRPr="005A15F1">
        <w:t xml:space="preserve"> to trade water access entitlements</w:t>
      </w:r>
      <w:r>
        <w:t xml:space="preserve"> and water allocations in New South Wales.</w:t>
      </w:r>
    </w:p>
    <w:p w:rsidR="00C524FC" w:rsidRDefault="00C524FC" w:rsidP="00C524FC">
      <w:pPr>
        <w:pStyle w:val="Numbered111"/>
      </w:pPr>
      <w:bookmarkStart w:id="234" w:name="_Toc485303376"/>
      <w:r>
        <w:t>Australian Capital Territory</w:t>
      </w:r>
      <w:bookmarkEnd w:id="234"/>
    </w:p>
    <w:p w:rsidR="008761DA" w:rsidRDefault="008761DA" w:rsidP="008761DA">
      <w:r w:rsidRPr="003F1051">
        <w:t xml:space="preserve">Water </w:t>
      </w:r>
      <w:r>
        <w:t xml:space="preserve">entitlement </w:t>
      </w:r>
      <w:r w:rsidRPr="003F1051">
        <w:t>trading is available within the ACT</w:t>
      </w:r>
      <w:r w:rsidR="00FE0CD2">
        <w:t xml:space="preserve"> (</w:t>
      </w:r>
      <w:r w:rsidR="00BF3323">
        <w:t xml:space="preserve">but </w:t>
      </w:r>
      <w:r w:rsidRPr="003F1051">
        <w:t xml:space="preserve">interstate water trading is </w:t>
      </w:r>
      <w:r w:rsidR="00FE0CD2">
        <w:t xml:space="preserve">currently </w:t>
      </w:r>
      <w:r w:rsidRPr="003F1051">
        <w:t xml:space="preserve">not </w:t>
      </w:r>
      <w:r w:rsidR="00FE0CD2">
        <w:t>permitted)</w:t>
      </w:r>
      <w:r w:rsidRPr="003F1051">
        <w:t>.</w:t>
      </w:r>
      <w:r>
        <w:rPr>
          <w:rStyle w:val="FootnoteReference"/>
        </w:rPr>
        <w:footnoteReference w:id="72"/>
      </w:r>
    </w:p>
    <w:p w:rsidR="00114E79" w:rsidRDefault="00FE0CD2" w:rsidP="00114E79">
      <w:r>
        <w:t>For</w:t>
      </w:r>
      <w:r w:rsidR="00114E79">
        <w:t xml:space="preserve"> trade of water access entitlements in 2015−16:</w:t>
      </w:r>
    </w:p>
    <w:p w:rsidR="00114E79" w:rsidRDefault="00114E79" w:rsidP="00DA47C0">
      <w:pPr>
        <w:pStyle w:val="Bulletpoint"/>
      </w:pPr>
      <w:r>
        <w:t>the application fee for the transfer of a water access entitlement either permanently or for a period of time was $160.30.</w:t>
      </w:r>
    </w:p>
    <w:p w:rsidR="00114E79" w:rsidRDefault="00114E79" w:rsidP="00DA47C0">
      <w:pPr>
        <w:pStyle w:val="Bulletpoint"/>
      </w:pPr>
      <w:r w:rsidRPr="00DF6F75">
        <w:lastRenderedPageBreak/>
        <w:t xml:space="preserve">the </w:t>
      </w:r>
      <w:r w:rsidR="00FE0CD2">
        <w:t xml:space="preserve">charge for a </w:t>
      </w:r>
      <w:r w:rsidRPr="00DF6F75">
        <w:t xml:space="preserve">change of condition of a water access entitlement from one that is restricted to a </w:t>
      </w:r>
      <w:r w:rsidR="00FE0CD2">
        <w:t xml:space="preserve">specific </w:t>
      </w:r>
      <w:r w:rsidRPr="00DF6F75">
        <w:t xml:space="preserve">location to one that is not </w:t>
      </w:r>
      <w:r w:rsidR="00B924CA">
        <w:t>wa</w:t>
      </w:r>
      <w:r w:rsidRPr="00DF6F75">
        <w:t>s $726.20 per ML</w:t>
      </w:r>
      <w:r>
        <w:t>.</w:t>
      </w:r>
    </w:p>
    <w:p w:rsidR="00114E79" w:rsidRDefault="00114E79" w:rsidP="00114E79">
      <w:r>
        <w:t>For water allocation trade to occur</w:t>
      </w:r>
      <w:r w:rsidR="00C32DE1">
        <w:t xml:space="preserve"> within the ACT</w:t>
      </w:r>
      <w:r>
        <w:t xml:space="preserve"> an </w:t>
      </w:r>
      <w:r w:rsidRPr="00494C8A">
        <w:t xml:space="preserve">application must be provided and the buyer must have sufficient licence volume to allow for the trade. </w:t>
      </w:r>
      <w:r w:rsidRPr="00A63D8E">
        <w:t>This trade application would incur a trade charge of $160.30.</w:t>
      </w:r>
    </w:p>
    <w:p w:rsidR="00291F9C" w:rsidRPr="00A63D8E" w:rsidRDefault="00291F9C" w:rsidP="00114E79">
      <w:r>
        <w:t xml:space="preserve">The Water Resources (Fees) Determination 2015 (No 1) (ACT) in section 2.2.3 contains further </w:t>
      </w:r>
      <w:r w:rsidRPr="005A15F1">
        <w:t xml:space="preserve">information relating to </w:t>
      </w:r>
      <w:r>
        <w:t xml:space="preserve">charges for processing </w:t>
      </w:r>
      <w:r w:rsidRPr="005A15F1">
        <w:t>application</w:t>
      </w:r>
      <w:r>
        <w:t>s</w:t>
      </w:r>
      <w:r w:rsidRPr="005A15F1">
        <w:t xml:space="preserve"> to trade water access entitlements</w:t>
      </w:r>
      <w:r>
        <w:t xml:space="preserve"> and water allocations in the ACT.</w:t>
      </w:r>
    </w:p>
    <w:p w:rsidR="00C524FC" w:rsidRDefault="00C524FC" w:rsidP="00C524FC">
      <w:pPr>
        <w:pStyle w:val="Numbered111"/>
      </w:pPr>
      <w:bookmarkStart w:id="235" w:name="_Toc485303377"/>
      <w:r>
        <w:t>Victoria</w:t>
      </w:r>
      <w:bookmarkEnd w:id="235"/>
    </w:p>
    <w:p w:rsidR="00C524FC" w:rsidRDefault="00114E79" w:rsidP="00114E79">
      <w:r>
        <w:t xml:space="preserve">As noted in section </w:t>
      </w:r>
      <w:r>
        <w:fldChar w:fldCharType="begin"/>
      </w:r>
      <w:r>
        <w:instrText xml:space="preserve"> REF _Ref483918093 \r \h </w:instrText>
      </w:r>
      <w:r>
        <w:fldChar w:fldCharType="separate"/>
      </w:r>
      <w:r>
        <w:t>2.2.4</w:t>
      </w:r>
      <w:r>
        <w:fldChar w:fldCharType="end"/>
      </w:r>
      <w:r w:rsidR="004930D3">
        <w:t xml:space="preserve"> above</w:t>
      </w:r>
      <w:r>
        <w:t>, local water authorities (GMW, LMW and GWMW</w:t>
      </w:r>
      <w:r w:rsidR="00ED78CE">
        <w:t xml:space="preserve">) in Victoria </w:t>
      </w:r>
      <w:r w:rsidR="00761B24">
        <w:t>are the designated trade approval authorities</w:t>
      </w:r>
      <w:r>
        <w:t xml:space="preserve">. </w:t>
      </w:r>
    </w:p>
    <w:p w:rsidR="00114E79" w:rsidRDefault="00FE0CD2" w:rsidP="00B924CA">
      <w:r>
        <w:t>For</w:t>
      </w:r>
      <w:r w:rsidR="00114E79">
        <w:t xml:space="preserve"> trading of water access entitlements </w:t>
      </w:r>
      <w:r w:rsidR="00B924CA">
        <w:t xml:space="preserve">(water shares) </w:t>
      </w:r>
      <w:r w:rsidR="00114E79">
        <w:t>in 2015−16</w:t>
      </w:r>
      <w:r w:rsidR="00B924CA">
        <w:t>, t</w:t>
      </w:r>
      <w:r w:rsidR="00114E79">
        <w:t xml:space="preserve">he fee for an application to a water </w:t>
      </w:r>
      <w:r w:rsidR="00C756B2">
        <w:t xml:space="preserve">authority </w:t>
      </w:r>
      <w:r w:rsidR="00114E79">
        <w:t xml:space="preserve">to transfer a water share permanently or for a limited term (including a </w:t>
      </w:r>
      <w:r w:rsidR="00B924CA">
        <w:t xml:space="preserve">change </w:t>
      </w:r>
      <w:r w:rsidR="00114E79">
        <w:t xml:space="preserve">of location) </w:t>
      </w:r>
      <w:r w:rsidR="00B924CA">
        <w:t>wa</w:t>
      </w:r>
      <w:r w:rsidR="00114E79">
        <w:t xml:space="preserve">s $184.60. </w:t>
      </w:r>
      <w:r w:rsidR="00C756B2">
        <w:t xml:space="preserve">For the trade to take effect, it must be registered with the Victorian Water Register. </w:t>
      </w:r>
      <w:r w:rsidR="00114E79">
        <w:t xml:space="preserve">The fee to lodge a transfer approved by the water </w:t>
      </w:r>
      <w:r w:rsidR="008D57E0">
        <w:t xml:space="preserve">authority </w:t>
      </w:r>
      <w:r w:rsidR="00114E79">
        <w:t>with the V</w:t>
      </w:r>
      <w:r w:rsidR="00BF3323">
        <w:t xml:space="preserve">ictorian Water Registrar </w:t>
      </w:r>
      <w:r w:rsidR="00B924CA">
        <w:t>wa</w:t>
      </w:r>
      <w:r w:rsidR="00114E79">
        <w:t xml:space="preserve">s $118.50. There </w:t>
      </w:r>
      <w:r w:rsidR="00B924CA">
        <w:t>wa</w:t>
      </w:r>
      <w:r w:rsidR="00114E79">
        <w:t>s no fee for a change in location of the water share.</w:t>
      </w:r>
    </w:p>
    <w:p w:rsidR="00114E79" w:rsidRDefault="00114E79" w:rsidP="00F90601">
      <w:r>
        <w:t xml:space="preserve">The fee for an application to a water </w:t>
      </w:r>
      <w:r w:rsidR="00C756B2">
        <w:t xml:space="preserve">authority </w:t>
      </w:r>
      <w:r>
        <w:t xml:space="preserve">to trade a water allocation </w:t>
      </w:r>
      <w:r w:rsidR="00B924CA">
        <w:t>wa</w:t>
      </w:r>
      <w:r>
        <w:t xml:space="preserve">s $43.60 if undertaken on-line or $82.10 otherwise. </w:t>
      </w:r>
      <w:r w:rsidR="00C756B2">
        <w:t>Trades of water allocations do not have to be lodged with the Victorian Water Registrar.</w:t>
      </w:r>
    </w:p>
    <w:p w:rsidR="00291F9C" w:rsidRPr="00A63D8E" w:rsidRDefault="00291F9C" w:rsidP="00291F9C">
      <w:r>
        <w:t xml:space="preserve">The Victorian Water Register Fees 2015-16 in section 2.2.4 contains further </w:t>
      </w:r>
      <w:r w:rsidRPr="005A15F1">
        <w:t xml:space="preserve">information relating to </w:t>
      </w:r>
      <w:r>
        <w:t xml:space="preserve">charges for processing </w:t>
      </w:r>
      <w:r w:rsidRPr="005A15F1">
        <w:t>application</w:t>
      </w:r>
      <w:r>
        <w:t>s</w:t>
      </w:r>
      <w:r w:rsidRPr="005A15F1">
        <w:t xml:space="preserve"> to trade water access entitlements</w:t>
      </w:r>
      <w:r>
        <w:t xml:space="preserve"> and water allocations in Victoria.</w:t>
      </w:r>
    </w:p>
    <w:p w:rsidR="00C524FC" w:rsidRDefault="00C524FC" w:rsidP="00C524FC">
      <w:pPr>
        <w:pStyle w:val="Numbered111"/>
      </w:pPr>
      <w:bookmarkStart w:id="236" w:name="_Toc485303378"/>
      <w:r>
        <w:t>South Australia</w:t>
      </w:r>
      <w:bookmarkEnd w:id="236"/>
    </w:p>
    <w:p w:rsidR="00761B24" w:rsidRDefault="00B924CA" w:rsidP="00B924CA">
      <w:r>
        <w:t>I</w:t>
      </w:r>
      <w:r w:rsidR="00761B24">
        <w:t>n 2015−16</w:t>
      </w:r>
      <w:r>
        <w:t xml:space="preserve">, </w:t>
      </w:r>
      <w:r w:rsidR="00761B24">
        <w:t xml:space="preserve">DEWNR applied a </w:t>
      </w:r>
      <w:r>
        <w:t xml:space="preserve">charge of </w:t>
      </w:r>
      <w:r w:rsidR="00761B24">
        <w:t xml:space="preserve">$415 for trades of </w:t>
      </w:r>
      <w:r>
        <w:t xml:space="preserve">water access entitlements involving </w:t>
      </w:r>
      <w:r w:rsidR="00761B24">
        <w:t>either ownership and/or location on the River Murray.</w:t>
      </w:r>
      <w:r>
        <w:t xml:space="preserve"> </w:t>
      </w:r>
      <w:r w:rsidR="00761B24">
        <w:t>DEWNR applie</w:t>
      </w:r>
      <w:r>
        <w:t>d</w:t>
      </w:r>
      <w:r w:rsidR="00761B24">
        <w:t xml:space="preserve"> a </w:t>
      </w:r>
      <w:r>
        <w:t xml:space="preserve">charge of </w:t>
      </w:r>
      <w:r w:rsidR="00761B24">
        <w:t xml:space="preserve">$244 charge </w:t>
      </w:r>
      <w:r>
        <w:t xml:space="preserve">per trade, </w:t>
      </w:r>
      <w:r w:rsidR="00761B24">
        <w:t xml:space="preserve">whether </w:t>
      </w:r>
      <w:r>
        <w:t xml:space="preserve">the trade was </w:t>
      </w:r>
      <w:r w:rsidR="00761B24">
        <w:t>intra-valley, intra-state or interstate.</w:t>
      </w:r>
    </w:p>
    <w:p w:rsidR="00C524FC" w:rsidRPr="00C524FC" w:rsidRDefault="00666C69" w:rsidP="00C524FC">
      <w:r>
        <w:t>The Natural Resources Management (General) Regulations 2005 – Part 2 (Fees)</w:t>
      </w:r>
      <w:r w:rsidR="003532D2">
        <w:t>,</w:t>
      </w:r>
      <w:r>
        <w:t xml:space="preserve"> in</w:t>
      </w:r>
      <w:r w:rsidR="008D1932">
        <w:t>cluded at</w:t>
      </w:r>
      <w:r>
        <w:t xml:space="preserve"> section 2.2.5 </w:t>
      </w:r>
      <w:r w:rsidR="008D1932">
        <w:t>of this document</w:t>
      </w:r>
      <w:r w:rsidR="003532D2">
        <w:t>,</w:t>
      </w:r>
      <w:r w:rsidR="008D1932">
        <w:t xml:space="preserve"> </w:t>
      </w:r>
      <w:r>
        <w:t xml:space="preserve">contains further </w:t>
      </w:r>
      <w:r w:rsidRPr="005A15F1">
        <w:t xml:space="preserve">information relating to </w:t>
      </w:r>
      <w:r>
        <w:t xml:space="preserve">charges for processing </w:t>
      </w:r>
      <w:r w:rsidRPr="005A15F1">
        <w:t>application</w:t>
      </w:r>
      <w:r>
        <w:t>s</w:t>
      </w:r>
      <w:r w:rsidRPr="005A15F1">
        <w:t xml:space="preserve"> to trade water access entitlements</w:t>
      </w:r>
      <w:r>
        <w:t xml:space="preserve"> and water allocation in South Australia.</w:t>
      </w:r>
    </w:p>
    <w:sectPr w:rsidR="00C524FC" w:rsidRPr="00C524FC" w:rsidSect="00565DE1">
      <w:footerReference w:type="default" r:id="rId111"/>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E78" w:rsidRDefault="00FF0E78" w:rsidP="004B4412">
      <w:pPr>
        <w:spacing w:before="0"/>
      </w:pPr>
      <w:r>
        <w:separator/>
      </w:r>
    </w:p>
  </w:endnote>
  <w:endnote w:type="continuationSeparator" w:id="0">
    <w:p w:rsidR="00FF0E78" w:rsidRDefault="00FF0E78"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Wingdings-Regular">
    <w:altName w:val="Wingdings"/>
    <w:panose1 w:val="00000000000000000000"/>
    <w:charset w:val="02"/>
    <w:family w:val="auto"/>
    <w:notTrueType/>
    <w:pitch w:val="default"/>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Gotham-Light">
    <w:altName w:val="Gotham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E78" w:rsidRPr="00A92837" w:rsidRDefault="00FF0E78" w:rsidP="00A92837">
    <w:pPr>
      <w:tabs>
        <w:tab w:val="center" w:pos="4513"/>
        <w:tab w:val="right" w:pos="9072"/>
      </w:tabs>
      <w:spacing w:after="120" w:line="276" w:lineRule="auto"/>
      <w:rPr>
        <w:color w:val="51626F" w:themeColor="accent1"/>
        <w:sz w:val="18"/>
      </w:rPr>
    </w:pPr>
    <w:r w:rsidRPr="00565DE1">
      <w:rPr>
        <w:rStyle w:val="FooterChar"/>
      </w:rPr>
      <w:fldChar w:fldCharType="begin"/>
    </w:r>
    <w:r w:rsidRPr="00565DE1">
      <w:rPr>
        <w:rStyle w:val="FooterChar"/>
      </w:rPr>
      <w:instrText xml:space="preserve"> STYLEREF  Title  \* MERGEFORMAT </w:instrText>
    </w:r>
    <w:r w:rsidRPr="00565DE1">
      <w:rPr>
        <w:rStyle w:val="FooterChar"/>
      </w:rPr>
      <w:fldChar w:fldCharType="separate"/>
    </w:r>
    <w:r w:rsidR="005255B1" w:rsidRPr="005255B1">
      <w:rPr>
        <w:rStyle w:val="FooterChar"/>
        <w:noProof/>
        <w:lang w:val="en-US"/>
      </w:rPr>
      <w:t>ACCC water monitoring report 2015–16</w:t>
    </w:r>
    <w:r w:rsidR="005255B1">
      <w:rPr>
        <w:rStyle w:val="FooterChar"/>
        <w:noProof/>
      </w:rPr>
      <w:t xml:space="preserve"> – monitoring approach and assumptions</w:t>
    </w:r>
    <w:r w:rsidRPr="00565DE1">
      <w:rPr>
        <w:rStyle w:val="FooterChar"/>
      </w:rPr>
      <w:fldChar w:fldCharType="end"/>
    </w:r>
    <w:r w:rsidRPr="000E3A2E">
      <w:rPr>
        <w:color w:val="51626F" w:themeColor="accent1"/>
        <w:sz w:val="18"/>
      </w:rPr>
      <w:tab/>
    </w:r>
    <w:r w:rsidRPr="000E3A2E">
      <w:rPr>
        <w:color w:val="51626F" w:themeColor="accent1"/>
        <w:sz w:val="18"/>
      </w:rPr>
      <w:fldChar w:fldCharType="begin"/>
    </w:r>
    <w:r w:rsidRPr="000E3A2E">
      <w:rPr>
        <w:color w:val="51626F" w:themeColor="accent1"/>
        <w:sz w:val="18"/>
      </w:rPr>
      <w:instrText xml:space="preserve"> PAGE   \* MERGEFORMAT </w:instrText>
    </w:r>
    <w:r w:rsidRPr="000E3A2E">
      <w:rPr>
        <w:color w:val="51626F" w:themeColor="accent1"/>
        <w:sz w:val="18"/>
      </w:rPr>
      <w:fldChar w:fldCharType="separate"/>
    </w:r>
    <w:r w:rsidR="005255B1">
      <w:rPr>
        <w:noProof/>
        <w:color w:val="51626F" w:themeColor="accent1"/>
        <w:sz w:val="18"/>
      </w:rPr>
      <w:t>133</w:t>
    </w:r>
    <w:r w:rsidRPr="000E3A2E">
      <w:rPr>
        <w:color w:val="51626F" w:themeColor="accent1"/>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E78" w:rsidRPr="000E3A2E" w:rsidRDefault="00FF0E78" w:rsidP="009715E3">
    <w:pPr>
      <w:tabs>
        <w:tab w:val="center" w:pos="4513"/>
        <w:tab w:val="right" w:pos="14175"/>
      </w:tabs>
      <w:spacing w:after="120" w:line="276" w:lineRule="auto"/>
      <w:rPr>
        <w:color w:val="51626F" w:themeColor="accent1"/>
        <w:sz w:val="18"/>
      </w:rPr>
    </w:pPr>
    <w:r w:rsidRPr="00565DE1">
      <w:rPr>
        <w:rStyle w:val="FooterChar"/>
      </w:rPr>
      <w:fldChar w:fldCharType="begin"/>
    </w:r>
    <w:r w:rsidRPr="00565DE1">
      <w:rPr>
        <w:rStyle w:val="FooterChar"/>
      </w:rPr>
      <w:instrText xml:space="preserve"> STYLEREF  Title  \* MERGEFORMAT </w:instrText>
    </w:r>
    <w:r w:rsidRPr="00565DE1">
      <w:rPr>
        <w:rStyle w:val="FooterChar"/>
      </w:rPr>
      <w:fldChar w:fldCharType="separate"/>
    </w:r>
    <w:r w:rsidR="00FB3FEC" w:rsidRPr="00FB3FEC">
      <w:rPr>
        <w:rStyle w:val="FooterChar"/>
        <w:noProof/>
        <w:lang w:val="en-US"/>
      </w:rPr>
      <w:t>ACCC water monitoring report 2015–16</w:t>
    </w:r>
    <w:r w:rsidR="00FB3FEC">
      <w:rPr>
        <w:rStyle w:val="FooterChar"/>
        <w:noProof/>
      </w:rPr>
      <w:t xml:space="preserve"> – monitoring approach and assumptions</w:t>
    </w:r>
    <w:r w:rsidRPr="00565DE1">
      <w:rPr>
        <w:rStyle w:val="FooterChar"/>
      </w:rPr>
      <w:fldChar w:fldCharType="end"/>
    </w:r>
    <w:r w:rsidRPr="000E3A2E">
      <w:rPr>
        <w:color w:val="51626F" w:themeColor="accent1"/>
        <w:sz w:val="18"/>
      </w:rPr>
      <w:tab/>
    </w:r>
    <w:r w:rsidRPr="000E3A2E">
      <w:rPr>
        <w:color w:val="51626F" w:themeColor="accent1"/>
        <w:sz w:val="18"/>
      </w:rPr>
      <w:fldChar w:fldCharType="begin"/>
    </w:r>
    <w:r w:rsidRPr="000E3A2E">
      <w:rPr>
        <w:color w:val="51626F" w:themeColor="accent1"/>
        <w:sz w:val="18"/>
      </w:rPr>
      <w:instrText xml:space="preserve"> PAGE   \* MERGEFORMAT </w:instrText>
    </w:r>
    <w:r w:rsidRPr="000E3A2E">
      <w:rPr>
        <w:color w:val="51626F" w:themeColor="accent1"/>
        <w:sz w:val="18"/>
      </w:rPr>
      <w:fldChar w:fldCharType="separate"/>
    </w:r>
    <w:r w:rsidR="00FB3FEC">
      <w:rPr>
        <w:noProof/>
        <w:color w:val="51626F" w:themeColor="accent1"/>
        <w:sz w:val="18"/>
      </w:rPr>
      <w:t>138</w:t>
    </w:r>
    <w:r w:rsidRPr="000E3A2E">
      <w:rPr>
        <w:color w:val="51626F" w:themeColor="accent1"/>
        <w:sz w:val="18"/>
      </w:rPr>
      <w:fldChar w:fldCharType="end"/>
    </w:r>
  </w:p>
  <w:p w:rsidR="00FF0E78" w:rsidRPr="000E3A2E" w:rsidRDefault="00FF0E78" w:rsidP="000E3A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E78" w:rsidRPr="000E3A2E" w:rsidRDefault="00FF0E78" w:rsidP="000E3A2E">
    <w:pPr>
      <w:tabs>
        <w:tab w:val="center" w:pos="4513"/>
        <w:tab w:val="right" w:pos="8505"/>
      </w:tabs>
      <w:spacing w:after="120" w:line="276" w:lineRule="auto"/>
      <w:rPr>
        <w:color w:val="51626F" w:themeColor="accent1"/>
        <w:sz w:val="18"/>
      </w:rPr>
    </w:pPr>
    <w:r w:rsidRPr="00565DE1">
      <w:rPr>
        <w:rStyle w:val="FooterChar"/>
      </w:rPr>
      <w:fldChar w:fldCharType="begin"/>
    </w:r>
    <w:r w:rsidRPr="00565DE1">
      <w:rPr>
        <w:rStyle w:val="FooterChar"/>
      </w:rPr>
      <w:instrText xml:space="preserve"> STYLEREF  Title  \* MERGEFORMAT </w:instrText>
    </w:r>
    <w:r w:rsidRPr="00565DE1">
      <w:rPr>
        <w:rStyle w:val="FooterChar"/>
      </w:rPr>
      <w:fldChar w:fldCharType="separate"/>
    </w:r>
    <w:r w:rsidR="00FB3FEC" w:rsidRPr="00FB3FEC">
      <w:rPr>
        <w:rStyle w:val="FooterChar"/>
        <w:noProof/>
        <w:lang w:val="en-US"/>
      </w:rPr>
      <w:t>ACCC water monitoring report 2015–16</w:t>
    </w:r>
    <w:r w:rsidR="00FB3FEC">
      <w:rPr>
        <w:rStyle w:val="FooterChar"/>
        <w:noProof/>
      </w:rPr>
      <w:t xml:space="preserve"> – monitoring approach and assumptions</w:t>
    </w:r>
    <w:r w:rsidRPr="00565DE1">
      <w:rPr>
        <w:rStyle w:val="FooterChar"/>
      </w:rPr>
      <w:fldChar w:fldCharType="end"/>
    </w:r>
    <w:r w:rsidRPr="000E3A2E">
      <w:rPr>
        <w:color w:val="51626F" w:themeColor="accent1"/>
        <w:sz w:val="18"/>
      </w:rPr>
      <w:tab/>
    </w:r>
    <w:r w:rsidRPr="000E3A2E">
      <w:rPr>
        <w:color w:val="51626F" w:themeColor="accent1"/>
        <w:sz w:val="18"/>
      </w:rPr>
      <w:fldChar w:fldCharType="begin"/>
    </w:r>
    <w:r w:rsidRPr="000E3A2E">
      <w:rPr>
        <w:color w:val="51626F" w:themeColor="accent1"/>
        <w:sz w:val="18"/>
      </w:rPr>
      <w:instrText xml:space="preserve"> PAGE   \* MERGEFORMAT </w:instrText>
    </w:r>
    <w:r w:rsidRPr="000E3A2E">
      <w:rPr>
        <w:color w:val="51626F" w:themeColor="accent1"/>
        <w:sz w:val="18"/>
      </w:rPr>
      <w:fldChar w:fldCharType="separate"/>
    </w:r>
    <w:r w:rsidR="00FB3FEC">
      <w:rPr>
        <w:noProof/>
        <w:color w:val="51626F" w:themeColor="accent1"/>
        <w:sz w:val="18"/>
      </w:rPr>
      <w:t>140</w:t>
    </w:r>
    <w:r w:rsidRPr="000E3A2E">
      <w:rPr>
        <w:color w:val="51626F" w:themeColor="accent1"/>
        <w:sz w:val="18"/>
      </w:rPr>
      <w:fldChar w:fldCharType="end"/>
    </w:r>
  </w:p>
  <w:p w:rsidR="00FF0E78" w:rsidRPr="000E3A2E" w:rsidRDefault="00FF0E78" w:rsidP="000E3A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E78" w:rsidRPr="000E3A2E" w:rsidRDefault="00FF0E78" w:rsidP="001A1A3D">
    <w:pPr>
      <w:tabs>
        <w:tab w:val="center" w:pos="4513"/>
        <w:tab w:val="right" w:pos="13325"/>
      </w:tabs>
      <w:spacing w:after="120" w:line="276" w:lineRule="auto"/>
      <w:rPr>
        <w:color w:val="51626F" w:themeColor="accent1"/>
        <w:sz w:val="18"/>
      </w:rPr>
    </w:pPr>
    <w:r w:rsidRPr="00565DE1">
      <w:rPr>
        <w:rStyle w:val="FooterChar"/>
      </w:rPr>
      <w:fldChar w:fldCharType="begin"/>
    </w:r>
    <w:r w:rsidRPr="00565DE1">
      <w:rPr>
        <w:rStyle w:val="FooterChar"/>
      </w:rPr>
      <w:instrText xml:space="preserve"> STYLEREF  Title  \* MERGEFORMAT </w:instrText>
    </w:r>
    <w:r w:rsidRPr="00565DE1">
      <w:rPr>
        <w:rStyle w:val="FooterChar"/>
      </w:rPr>
      <w:fldChar w:fldCharType="separate"/>
    </w:r>
    <w:r w:rsidR="005255B1" w:rsidRPr="005255B1">
      <w:rPr>
        <w:rStyle w:val="FooterChar"/>
        <w:noProof/>
        <w:lang w:val="en-US"/>
      </w:rPr>
      <w:t>ACCC water monitoring report 2015–16</w:t>
    </w:r>
    <w:r w:rsidR="005255B1">
      <w:rPr>
        <w:rStyle w:val="FooterChar"/>
        <w:noProof/>
      </w:rPr>
      <w:t xml:space="preserve"> – monitoring approach and assumptions</w:t>
    </w:r>
    <w:r w:rsidRPr="00565DE1">
      <w:rPr>
        <w:rStyle w:val="FooterChar"/>
      </w:rPr>
      <w:fldChar w:fldCharType="end"/>
    </w:r>
    <w:r w:rsidRPr="000E3A2E">
      <w:rPr>
        <w:color w:val="51626F" w:themeColor="accent1"/>
        <w:sz w:val="18"/>
      </w:rPr>
      <w:tab/>
    </w:r>
    <w:r w:rsidRPr="000E3A2E">
      <w:rPr>
        <w:color w:val="51626F" w:themeColor="accent1"/>
        <w:sz w:val="18"/>
      </w:rPr>
      <w:tab/>
    </w:r>
    <w:r w:rsidRPr="000E3A2E">
      <w:rPr>
        <w:color w:val="51626F" w:themeColor="accent1"/>
        <w:sz w:val="18"/>
      </w:rPr>
      <w:fldChar w:fldCharType="begin"/>
    </w:r>
    <w:r w:rsidRPr="000E3A2E">
      <w:rPr>
        <w:color w:val="51626F" w:themeColor="accent1"/>
        <w:sz w:val="18"/>
      </w:rPr>
      <w:instrText xml:space="preserve"> PAGE   \* MERGEFORMAT </w:instrText>
    </w:r>
    <w:r w:rsidRPr="000E3A2E">
      <w:rPr>
        <w:color w:val="51626F" w:themeColor="accent1"/>
        <w:sz w:val="18"/>
      </w:rPr>
      <w:fldChar w:fldCharType="separate"/>
    </w:r>
    <w:r w:rsidR="005255B1">
      <w:rPr>
        <w:noProof/>
        <w:color w:val="51626F" w:themeColor="accent1"/>
        <w:sz w:val="18"/>
      </w:rPr>
      <w:t>144</w:t>
    </w:r>
    <w:r w:rsidRPr="000E3A2E">
      <w:rPr>
        <w:color w:val="51626F" w:themeColor="accent1"/>
        <w:sz w:val="18"/>
      </w:rPr>
      <w:fldChar w:fldCharType="end"/>
    </w:r>
  </w:p>
  <w:p w:rsidR="00FF0E78" w:rsidRPr="000E3A2E" w:rsidRDefault="00FF0E78" w:rsidP="000E3A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E78" w:rsidRPr="000E3A2E" w:rsidRDefault="00FF0E78" w:rsidP="009715E3">
    <w:pPr>
      <w:tabs>
        <w:tab w:val="center" w:pos="4513"/>
        <w:tab w:val="right" w:pos="8789"/>
      </w:tabs>
      <w:spacing w:after="120" w:line="276" w:lineRule="auto"/>
      <w:rPr>
        <w:color w:val="51626F" w:themeColor="accent1"/>
        <w:sz w:val="18"/>
      </w:rPr>
    </w:pPr>
    <w:r w:rsidRPr="00565DE1">
      <w:rPr>
        <w:rStyle w:val="FooterChar"/>
      </w:rPr>
      <w:fldChar w:fldCharType="begin"/>
    </w:r>
    <w:r w:rsidRPr="00565DE1">
      <w:rPr>
        <w:rStyle w:val="FooterChar"/>
      </w:rPr>
      <w:instrText xml:space="preserve"> STYLEREF  Title  \* MERGEFORMAT </w:instrText>
    </w:r>
    <w:r w:rsidRPr="00565DE1">
      <w:rPr>
        <w:rStyle w:val="FooterChar"/>
      </w:rPr>
      <w:fldChar w:fldCharType="separate"/>
    </w:r>
    <w:r w:rsidR="005255B1" w:rsidRPr="005255B1">
      <w:rPr>
        <w:rStyle w:val="FooterChar"/>
        <w:noProof/>
        <w:lang w:val="en-US"/>
      </w:rPr>
      <w:t>ACCC water monitoring report 2015–16</w:t>
    </w:r>
    <w:r w:rsidR="005255B1">
      <w:rPr>
        <w:rStyle w:val="FooterChar"/>
        <w:noProof/>
      </w:rPr>
      <w:t xml:space="preserve"> – monitoring approach and assumptions</w:t>
    </w:r>
    <w:r w:rsidRPr="00565DE1">
      <w:rPr>
        <w:rStyle w:val="FooterChar"/>
      </w:rPr>
      <w:fldChar w:fldCharType="end"/>
    </w:r>
    <w:r w:rsidRPr="000E3A2E">
      <w:rPr>
        <w:color w:val="51626F" w:themeColor="accent1"/>
        <w:sz w:val="18"/>
      </w:rPr>
      <w:tab/>
    </w:r>
    <w:r w:rsidRPr="000E3A2E">
      <w:rPr>
        <w:color w:val="51626F" w:themeColor="accent1"/>
        <w:sz w:val="18"/>
      </w:rPr>
      <w:fldChar w:fldCharType="begin"/>
    </w:r>
    <w:r w:rsidRPr="000E3A2E">
      <w:rPr>
        <w:color w:val="51626F" w:themeColor="accent1"/>
        <w:sz w:val="18"/>
      </w:rPr>
      <w:instrText xml:space="preserve"> PAGE   \* MERGEFORMAT </w:instrText>
    </w:r>
    <w:r w:rsidRPr="000E3A2E">
      <w:rPr>
        <w:color w:val="51626F" w:themeColor="accent1"/>
        <w:sz w:val="18"/>
      </w:rPr>
      <w:fldChar w:fldCharType="separate"/>
    </w:r>
    <w:r w:rsidR="005255B1">
      <w:rPr>
        <w:noProof/>
        <w:color w:val="51626F" w:themeColor="accent1"/>
        <w:sz w:val="18"/>
      </w:rPr>
      <w:t>146</w:t>
    </w:r>
    <w:r w:rsidRPr="000E3A2E">
      <w:rPr>
        <w:color w:val="51626F" w:themeColor="accent1"/>
        <w:sz w:val="18"/>
      </w:rPr>
      <w:fldChar w:fldCharType="end"/>
    </w:r>
  </w:p>
  <w:p w:rsidR="00FF0E78" w:rsidRPr="000E3A2E" w:rsidRDefault="00FF0E78" w:rsidP="000E3A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E78" w:rsidRDefault="00FF0E78" w:rsidP="004B4412">
      <w:pPr>
        <w:spacing w:before="0"/>
      </w:pPr>
      <w:r>
        <w:separator/>
      </w:r>
    </w:p>
  </w:footnote>
  <w:footnote w:type="continuationSeparator" w:id="0">
    <w:p w:rsidR="00FF0E78" w:rsidRDefault="00FF0E78" w:rsidP="004B4412">
      <w:pPr>
        <w:spacing w:before="0"/>
      </w:pPr>
      <w:r>
        <w:continuationSeparator/>
      </w:r>
    </w:p>
  </w:footnote>
  <w:footnote w:id="1">
    <w:p w:rsidR="00FF0E78" w:rsidRPr="006F3A4C" w:rsidRDefault="00FF0E78" w:rsidP="006F3A4C">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ab/>
      </w:r>
      <w:r w:rsidRPr="006F3A4C">
        <w:rPr>
          <w:rStyle w:val="FootnoteChar"/>
        </w:rPr>
        <w:t xml:space="preserve">For definitions of ‘on-river infrastructure operator’ and ‘off-river infrastructure operator’, see </w:t>
      </w:r>
      <w:r>
        <w:rPr>
          <w:rStyle w:val="FootnoteChar"/>
        </w:rPr>
        <w:t xml:space="preserve">glossary and </w:t>
      </w:r>
      <w:r w:rsidRPr="006F3A4C">
        <w:rPr>
          <w:rStyle w:val="FootnoteChar"/>
        </w:rPr>
        <w:t xml:space="preserve">section 2.1 of </w:t>
      </w:r>
      <w:r>
        <w:rPr>
          <w:rStyle w:val="FootnoteChar"/>
        </w:rPr>
        <w:t xml:space="preserve">the </w:t>
      </w:r>
      <w:r w:rsidRPr="006F3A4C">
        <w:rPr>
          <w:rStyle w:val="FootnoteChar"/>
        </w:rPr>
        <w:t>main report</w:t>
      </w:r>
      <w:r>
        <w:rPr>
          <w:rStyle w:val="FootnoteChar"/>
        </w:rPr>
        <w:t xml:space="preserve"> for more detailed explanation</w:t>
      </w:r>
      <w:r w:rsidRPr="006F3A4C">
        <w:rPr>
          <w:rStyle w:val="FootnoteChar"/>
        </w:rPr>
        <w:t>.</w:t>
      </w:r>
    </w:p>
  </w:footnote>
  <w:footnote w:id="2">
    <w:p w:rsidR="00FF0E78" w:rsidRPr="006F3A4C" w:rsidRDefault="00FF0E78" w:rsidP="006F3A4C">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ab/>
        <w:t>Formerly the Victorian Department of Environment and Primary Industries (DEPI); name changed on 1 January 2015.</w:t>
      </w:r>
    </w:p>
  </w:footnote>
  <w:footnote w:id="3">
    <w:p w:rsidR="00FF0E78" w:rsidRPr="006F3A4C" w:rsidRDefault="00FF0E78" w:rsidP="006F3A4C">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ab/>
        <w:t>Formerly the NSW Office of Water (NOW); name changed on 3 July 2015.</w:t>
      </w:r>
    </w:p>
  </w:footnote>
  <w:footnote w:id="4">
    <w:p w:rsidR="00FF0E78" w:rsidRPr="006F3A4C" w:rsidRDefault="00FF0E78" w:rsidP="006F3A4C">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ab/>
        <w:t>Formerly the Environment &amp; Sustainable Development Directorate (ACT) (ACT ESDD).</w:t>
      </w:r>
    </w:p>
  </w:footnote>
  <w:footnote w:id="5">
    <w:p w:rsidR="00FF0E78" w:rsidRPr="006F3A4C" w:rsidRDefault="00FF0E78" w:rsidP="006F3A4C">
      <w:pPr>
        <w:pStyle w:val="Footnote"/>
        <w:rPr>
          <w:rStyle w:val="FootnoteReference"/>
          <w:vertAlign w:val="baseline"/>
        </w:rPr>
      </w:pPr>
      <w:r w:rsidRPr="006F3A4C">
        <w:rPr>
          <w:rStyle w:val="FootnoteReference"/>
          <w:vertAlign w:val="baseline"/>
        </w:rPr>
        <w:footnoteRef/>
      </w:r>
      <w:r w:rsidRPr="006F3A4C">
        <w:rPr>
          <w:rStyle w:val="FootnoteReference"/>
          <w:vertAlign w:val="baseline"/>
        </w:rPr>
        <w:tab/>
        <w:t>Formerly State Water; WaterNSW is the entity formed from the merging of State Water with the Sydney Catchment Authority on 1 January 2015.</w:t>
      </w:r>
    </w:p>
  </w:footnote>
  <w:footnote w:id="6">
    <w:p w:rsidR="00FF0E78" w:rsidRDefault="00FF0E78">
      <w:pPr>
        <w:pStyle w:val="FootnoteText"/>
      </w:pPr>
      <w:r w:rsidRPr="00CD60F0">
        <w:rPr>
          <w:rStyle w:val="FootnoteReference"/>
          <w:rFonts w:asciiTheme="minorHAnsi" w:hAnsiTheme="minorHAnsi" w:cstheme="minorHAnsi"/>
          <w:vertAlign w:val="baseline"/>
        </w:rPr>
        <w:footnoteRef/>
      </w:r>
      <w:r w:rsidRPr="00CD60F0">
        <w:rPr>
          <w:rStyle w:val="FootnoteReference"/>
          <w:rFonts w:asciiTheme="minorHAnsi" w:hAnsiTheme="minorHAnsi" w:cstheme="minorHAnsi"/>
          <w:vertAlign w:val="baseline"/>
        </w:rPr>
        <w:t xml:space="preserve"> </w:t>
      </w:r>
      <w:r>
        <w:rPr>
          <w:rStyle w:val="FootnoteReference"/>
          <w:rFonts w:asciiTheme="minorHAnsi" w:hAnsiTheme="minorHAnsi" w:cstheme="minorHAnsi"/>
          <w:vertAlign w:val="baseline"/>
        </w:rPr>
        <w:tab/>
      </w:r>
      <w:r w:rsidRPr="00CD60F0">
        <w:rPr>
          <w:rFonts w:asciiTheme="minorHAnsi" w:hAnsiTheme="minorHAnsi" w:cstheme="minorHAnsi"/>
        </w:rPr>
        <w:t>While Coliban Water holds a volume of water access entitlement greater than the 10GL threshold for small operators, the majority of Coliban’s customers are urban, and Coliban cannot give effect to transformation. For these reasons, the ACCC does not prepare a hypothetical irrigator bill for Coliban or report on Coliban’s terminations in chapter 6.</w:t>
      </w:r>
      <w:r w:rsidRPr="00CD60F0">
        <w:rPr>
          <w:rStyle w:val="FootnoteReference"/>
          <w:szCs w:val="16"/>
          <w:vertAlign w:val="baseline"/>
        </w:rPr>
        <w:t xml:space="preserve"> </w:t>
      </w:r>
      <w:r>
        <w:rPr>
          <w:rStyle w:val="FootnoteReference"/>
          <w:szCs w:val="16"/>
          <w:vertAlign w:val="baseline"/>
        </w:rPr>
        <w:t>The</w:t>
      </w:r>
      <w:r w:rsidRPr="006F3A4C">
        <w:rPr>
          <w:rStyle w:val="FootnoteReference"/>
          <w:szCs w:val="16"/>
          <w:vertAlign w:val="baseline"/>
        </w:rPr>
        <w:t xml:space="preserve"> RFI </w:t>
      </w:r>
      <w:r>
        <w:rPr>
          <w:rStyle w:val="FootnoteReference"/>
          <w:szCs w:val="16"/>
          <w:vertAlign w:val="baseline"/>
        </w:rPr>
        <w:t xml:space="preserve">sent to </w:t>
      </w:r>
      <w:r w:rsidRPr="006F3A4C">
        <w:rPr>
          <w:rStyle w:val="FootnoteReference"/>
          <w:szCs w:val="16"/>
          <w:vertAlign w:val="baseline"/>
        </w:rPr>
        <w:t>Coliban Water</w:t>
      </w:r>
      <w:r>
        <w:rPr>
          <w:rStyle w:val="FootnoteReference"/>
          <w:szCs w:val="16"/>
          <w:vertAlign w:val="baseline"/>
        </w:rPr>
        <w:t xml:space="preserve"> seeks information on Coliban Water</w:t>
      </w:r>
      <w:r w:rsidRPr="006F3A4C">
        <w:rPr>
          <w:rStyle w:val="FootnoteReference"/>
          <w:szCs w:val="16"/>
          <w:vertAlign w:val="baseline"/>
        </w:rPr>
        <w:t>’s one WPM charge and was sent to monitor compliance with the WCPMIR.</w:t>
      </w:r>
    </w:p>
  </w:footnote>
  <w:footnote w:id="7">
    <w:p w:rsidR="00FF0E78" w:rsidRPr="006F3A4C" w:rsidRDefault="00FF0E78" w:rsidP="006F3A4C">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James Purtill (Director-General, Department of Natural Resources Management), Letter relating to Water Monitoring Information Request 2015−16 , 29 November 2016.</w:t>
      </w:r>
    </w:p>
  </w:footnote>
  <w:footnote w:id="8">
    <w:p w:rsidR="00FF0E78" w:rsidRPr="006F3A4C" w:rsidRDefault="00FF0E78" w:rsidP="006F3A4C">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s91(3) of the Act.</w:t>
      </w:r>
    </w:p>
  </w:footnote>
  <w:footnote w:id="9">
    <w:p w:rsidR="00FF0E78" w:rsidRDefault="00FF0E78" w:rsidP="00F35A66">
      <w:pPr>
        <w:pStyle w:val="Footnote"/>
      </w:pPr>
      <w:r w:rsidRPr="00F35A66">
        <w:rPr>
          <w:rStyle w:val="FootnoteReference"/>
          <w:vertAlign w:val="baseline"/>
        </w:rPr>
        <w:footnoteRef/>
      </w:r>
      <w:r w:rsidRPr="00F35A66">
        <w:t xml:space="preserve"> </w:t>
      </w:r>
      <w:r w:rsidRPr="00F35A66">
        <w:tab/>
        <w:t>Schedule 14 also sets out on-river infrastructure charges in the Lower Balonne Water Management Area (an area which is in the MDB)</w:t>
      </w:r>
      <w:r>
        <w:t>.</w:t>
      </w:r>
    </w:p>
  </w:footnote>
  <w:footnote w:id="10">
    <w:p w:rsidR="00FF0E78" w:rsidRDefault="00FF0E78" w:rsidP="00E934A9">
      <w:pPr>
        <w:pStyle w:val="Footnote"/>
      </w:pPr>
      <w:r w:rsidRPr="00E934A9">
        <w:rPr>
          <w:rStyle w:val="FootnoteReference"/>
          <w:vertAlign w:val="baseline"/>
        </w:rPr>
        <w:footnoteRef/>
      </w:r>
      <w:r w:rsidRPr="00E934A9">
        <w:rPr>
          <w:rStyle w:val="FootnoteReference"/>
          <w:vertAlign w:val="baseline"/>
        </w:rPr>
        <w:t xml:space="preserve"> </w:t>
      </w:r>
      <w:r>
        <w:tab/>
      </w:r>
      <w:r w:rsidRPr="00E934A9">
        <w:rPr>
          <w:rStyle w:val="FootnoteReference"/>
          <w:vertAlign w:val="baseline"/>
        </w:rPr>
        <w:t>N</w:t>
      </w:r>
      <w:r>
        <w:t>ote</w:t>
      </w:r>
      <w:r w:rsidRPr="00E934A9">
        <w:rPr>
          <w:rStyle w:val="FootnoteReference"/>
          <w:vertAlign w:val="baseline"/>
        </w:rPr>
        <w:t>: in Queensland, the term ‘water allocation’ refers to a water access entitlement. See Table 2.1 in main report for further explanation of Basin State terminology.</w:t>
      </w:r>
    </w:p>
  </w:footnote>
  <w:footnote w:id="11">
    <w:p w:rsidR="00FF0E78" w:rsidRPr="006F3A4C" w:rsidRDefault="00FF0E78" w:rsidP="006F3A4C">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The regulated charge in the Dumaresq River Water Management Area is an on-river access charge (that is, it is not a WPM charge).</w:t>
      </w:r>
    </w:p>
  </w:footnote>
  <w:footnote w:id="12">
    <w:p w:rsidR="00FF0E78" w:rsidRDefault="00FF0E78" w:rsidP="006F3A4C">
      <w:pPr>
        <w:pStyle w:val="Footnote"/>
        <w:rPr>
          <w:szCs w:val="16"/>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r>
      <w:r>
        <w:rPr>
          <w:rStyle w:val="FootnoteReference"/>
          <w:szCs w:val="16"/>
          <w:vertAlign w:val="baseline"/>
        </w:rPr>
        <w:t>S</w:t>
      </w:r>
      <w:r>
        <w:rPr>
          <w:szCs w:val="16"/>
        </w:rPr>
        <w:t xml:space="preserve">chedule 15A lists the metering entitlements to which a charge applies in a particular water year (but not the dollar amount for each charge). </w:t>
      </w:r>
      <w:r w:rsidRPr="006F3A4C">
        <w:rPr>
          <w:rStyle w:val="FootnoteReference"/>
          <w:szCs w:val="16"/>
          <w:vertAlign w:val="baseline"/>
        </w:rPr>
        <w:t xml:space="preserve">The </w:t>
      </w:r>
      <w:r>
        <w:rPr>
          <w:rStyle w:val="FootnoteReference"/>
          <w:szCs w:val="16"/>
          <w:vertAlign w:val="baseline"/>
        </w:rPr>
        <w:t>dollar amounts f</w:t>
      </w:r>
      <w:r>
        <w:rPr>
          <w:szCs w:val="16"/>
        </w:rPr>
        <w:t>or each</w:t>
      </w:r>
      <w:r>
        <w:rPr>
          <w:rStyle w:val="FootnoteReference"/>
          <w:szCs w:val="16"/>
          <w:vertAlign w:val="baseline"/>
        </w:rPr>
        <w:t xml:space="preserve"> </w:t>
      </w:r>
      <w:r w:rsidRPr="006F3A4C">
        <w:rPr>
          <w:rStyle w:val="FootnoteReference"/>
          <w:szCs w:val="16"/>
          <w:vertAlign w:val="baseline"/>
        </w:rPr>
        <w:t>charge presented here are extracted from DNRM’s 2015−16 RFI</w:t>
      </w:r>
      <w:r>
        <w:rPr>
          <w:rStyle w:val="FootnoteReference"/>
          <w:szCs w:val="16"/>
          <w:vertAlign w:val="baseline"/>
        </w:rPr>
        <w:t>.</w:t>
      </w:r>
      <w:r>
        <w:rPr>
          <w:szCs w:val="16"/>
        </w:rPr>
        <w:t xml:space="preserve"> </w:t>
      </w:r>
    </w:p>
    <w:p w:rsidR="00FF0E78" w:rsidRPr="006F3A4C" w:rsidRDefault="00FF0E78" w:rsidP="006F3A4C">
      <w:pPr>
        <w:pStyle w:val="Footnote"/>
        <w:rPr>
          <w:rStyle w:val="FootnoteReference"/>
          <w:szCs w:val="16"/>
          <w:vertAlign w:val="baseline"/>
        </w:rPr>
      </w:pPr>
      <w:r>
        <w:rPr>
          <w:rStyle w:val="FootnoteReference"/>
          <w:szCs w:val="16"/>
          <w:vertAlign w:val="baseline"/>
        </w:rPr>
        <w:t>.</w:t>
      </w:r>
    </w:p>
  </w:footnote>
  <w:footnote w:id="13">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The NSW Department of Primary Industries Water was formed on 3 July 2015, replacing the NSW Office of Water.</w:t>
      </w:r>
    </w:p>
  </w:footnote>
  <w:footnote w:id="14">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The DPI Water WPM charges that IPART sets include: the fixed volumetric charges (charged per ML of entitlements); variable volumetric charges (charged per ML of based on water usage); a minimum annual charge for water license holders; meter reading/assessment charges relating to water users with privately owned meters in unregulated rivers and groundwater sources, ancillary service charges (related to metering); and transaction charges relating to application fees for issuing and amending water access licenses, performing water allocation assignments and works approvals. (See: IPART, </w:t>
      </w:r>
      <w:r w:rsidRPr="009A6EE3">
        <w:rPr>
          <w:rStyle w:val="FootnoteReference"/>
          <w:i/>
          <w:szCs w:val="16"/>
          <w:vertAlign w:val="baseline"/>
        </w:rPr>
        <w:t>Review of prices for the Water Administration Ministerial Corporation—Final Report</w:t>
      </w:r>
      <w:r w:rsidRPr="006F3A4C">
        <w:rPr>
          <w:rStyle w:val="FootnoteReference"/>
          <w:szCs w:val="16"/>
          <w:vertAlign w:val="baseline"/>
        </w:rPr>
        <w:t>, June 2016, pp. 9-18)</w:t>
      </w:r>
    </w:p>
  </w:footnote>
  <w:footnote w:id="15">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IPART, Fact Sheet: ‘Prices and Bills for groundwater users – No change in 2015−16 ’, </w:t>
      </w:r>
      <w:hyperlink r:id="rId1" w:history="1">
        <w:r w:rsidRPr="003819C6">
          <w:rPr>
            <w:rStyle w:val="Hyperlink"/>
            <w:sz w:val="16"/>
            <w:szCs w:val="16"/>
          </w:rPr>
          <w:t>https://www.ipart.nsw.gov.au/files/sharedassets/website/trimholdingbay/fact_sheet_-_prices_and_bills_for_groundwater_users_-_no_change_in_2015−16 _-_july_2015.pdf</w:t>
        </w:r>
      </w:hyperlink>
      <w:r w:rsidRPr="003819C6">
        <w:rPr>
          <w:rStyle w:val="FootnoteReference"/>
          <w:szCs w:val="16"/>
          <w:vertAlign w:val="baseline"/>
        </w:rPr>
        <w:t>,</w:t>
      </w:r>
      <w:r w:rsidRPr="006F3A4C">
        <w:rPr>
          <w:rStyle w:val="FootnoteReference"/>
          <w:szCs w:val="16"/>
          <w:vertAlign w:val="baseline"/>
        </w:rPr>
        <w:t xml:space="preserve"> accessed 13/1/2017.</w:t>
      </w:r>
    </w:p>
  </w:footnote>
  <w:footnote w:id="16">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Water Management Act 2000 (NSW), s.114</w:t>
      </w:r>
    </w:p>
  </w:footnote>
  <w:footnote w:id="17">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NSW Land and Property Information, ‘Water access licence register’, </w:t>
      </w:r>
      <w:hyperlink r:id="rId2" w:history="1">
        <w:r w:rsidRPr="003819C6">
          <w:rPr>
            <w:rStyle w:val="Hyperlink"/>
            <w:sz w:val="16"/>
          </w:rPr>
          <w:t>http://www.lpi.nsw.gov.au/land_titles/public_registers/water_access_licence_register</w:t>
        </w:r>
      </w:hyperlink>
      <w:r w:rsidRPr="006F3A4C">
        <w:rPr>
          <w:rStyle w:val="FootnoteReference"/>
          <w:szCs w:val="16"/>
          <w:vertAlign w:val="baseline"/>
        </w:rPr>
        <w:t xml:space="preserve">, accessed 16/2/17. </w:t>
      </w:r>
    </w:p>
  </w:footnote>
  <w:footnote w:id="18">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DPI Water, </w:t>
      </w:r>
      <w:r>
        <w:rPr>
          <w:szCs w:val="16"/>
        </w:rPr>
        <w:t>‘</w:t>
      </w:r>
      <w:r w:rsidRPr="006F3A4C">
        <w:rPr>
          <w:rStyle w:val="FootnoteReference"/>
          <w:szCs w:val="16"/>
          <w:vertAlign w:val="baseline"/>
        </w:rPr>
        <w:t>Application fees for water access licenses and approvals</w:t>
      </w:r>
      <w:r>
        <w:rPr>
          <w:rStyle w:val="FootnoteReference"/>
          <w:szCs w:val="16"/>
          <w:vertAlign w:val="baseline"/>
        </w:rPr>
        <w:t>’</w:t>
      </w:r>
      <w:r w:rsidRPr="006F3A4C">
        <w:rPr>
          <w:rStyle w:val="FootnoteReference"/>
          <w:szCs w:val="16"/>
          <w:vertAlign w:val="baseline"/>
        </w:rPr>
        <w:t xml:space="preserve">, July 2015, p. 2, </w:t>
      </w:r>
      <w:hyperlink r:id="rId3" w:history="1">
        <w:r w:rsidRPr="003819C6">
          <w:rPr>
            <w:rStyle w:val="Hyperlink"/>
            <w:rFonts w:cstheme="minorBidi"/>
            <w:sz w:val="16"/>
            <w:szCs w:val="22"/>
          </w:rPr>
          <w:t>http://www.water.nsw.gov.au/__data/assets/pdf_file/0020/547112/price_water_mgt_transaction_fees_for_access_licences.pdf</w:t>
        </w:r>
      </w:hyperlink>
      <w:r w:rsidRPr="006F3A4C">
        <w:rPr>
          <w:rStyle w:val="FootnoteReference"/>
          <w:szCs w:val="16"/>
          <w:vertAlign w:val="baseline"/>
        </w:rPr>
        <w:t>, accessed May 2017.</w:t>
      </w:r>
    </w:p>
  </w:footnote>
  <w:footnote w:id="19">
    <w:p w:rsidR="00FF0E78" w:rsidRPr="003819C6" w:rsidRDefault="00FF0E78" w:rsidP="003819C6">
      <w:pPr>
        <w:pStyle w:val="Footnote"/>
        <w:rPr>
          <w:rStyle w:val="FootnoteReference"/>
          <w:vertAlign w:val="baseline"/>
        </w:rPr>
      </w:pPr>
      <w:r w:rsidRPr="003819C6">
        <w:rPr>
          <w:rStyle w:val="FootnoteReference"/>
          <w:vertAlign w:val="baseline"/>
        </w:rPr>
        <w:footnoteRef/>
      </w:r>
      <w:r w:rsidRPr="003819C6">
        <w:rPr>
          <w:rStyle w:val="FootnoteReference"/>
          <w:vertAlign w:val="baseline"/>
        </w:rPr>
        <w:t xml:space="preserve"> </w:t>
      </w:r>
      <w:r w:rsidRPr="003819C6">
        <w:rPr>
          <w:rStyle w:val="FootnoteReference"/>
          <w:vertAlign w:val="baseline"/>
        </w:rPr>
        <w:tab/>
        <w:t>In 2015−16, the $4.00 Assurance Fund Levy in this table did not apply to water dealing</w:t>
      </w:r>
      <w:r>
        <w:t>s</w:t>
      </w:r>
      <w:r w:rsidRPr="003819C6">
        <w:rPr>
          <w:rStyle w:val="FootnoteReference"/>
          <w:vertAlign w:val="baseline"/>
        </w:rPr>
        <w:t>.</w:t>
      </w:r>
    </w:p>
  </w:footnote>
  <w:footnote w:id="20">
    <w:p w:rsidR="00FF0E78" w:rsidRPr="003819C6" w:rsidRDefault="00FF0E78" w:rsidP="003819C6">
      <w:pPr>
        <w:pStyle w:val="Footnote"/>
        <w:rPr>
          <w:rStyle w:val="FootnoteReference"/>
          <w:vertAlign w:val="baseline"/>
        </w:rPr>
      </w:pPr>
      <w:r w:rsidRPr="003819C6">
        <w:rPr>
          <w:rStyle w:val="FootnoteReference"/>
          <w:vertAlign w:val="baseline"/>
        </w:rPr>
        <w:footnoteRef/>
      </w:r>
      <w:r w:rsidRPr="003819C6">
        <w:rPr>
          <w:rStyle w:val="FootnoteReference"/>
          <w:vertAlign w:val="baseline"/>
        </w:rPr>
        <w:t xml:space="preserve">  </w:t>
      </w:r>
      <w:r w:rsidRPr="003819C6">
        <w:rPr>
          <w:rStyle w:val="FootnoteReference"/>
          <w:vertAlign w:val="baseline"/>
        </w:rPr>
        <w:tab/>
        <w:t>On 4 May 2015, ACTEW Water was renamed Icon Water.</w:t>
      </w:r>
    </w:p>
  </w:footnote>
  <w:footnote w:id="21">
    <w:p w:rsidR="00FF0E78" w:rsidRPr="003819C6" w:rsidRDefault="00FF0E78" w:rsidP="003819C6">
      <w:pPr>
        <w:pStyle w:val="Footnote"/>
        <w:rPr>
          <w:rStyle w:val="FootnoteReference"/>
          <w:vertAlign w:val="baseline"/>
        </w:rPr>
      </w:pPr>
      <w:r w:rsidRPr="003819C6">
        <w:rPr>
          <w:rStyle w:val="FootnoteReference"/>
          <w:vertAlign w:val="baseline"/>
        </w:rPr>
        <w:footnoteRef/>
      </w:r>
      <w:r w:rsidRPr="003819C6">
        <w:rPr>
          <w:rStyle w:val="FootnoteReference"/>
          <w:vertAlign w:val="baseline"/>
        </w:rPr>
        <w:t xml:space="preserve">  </w:t>
      </w:r>
      <w:r w:rsidRPr="003819C6">
        <w:rPr>
          <w:rStyle w:val="FootnoteReference"/>
          <w:vertAlign w:val="baseline"/>
        </w:rPr>
        <w:tab/>
        <w:t>ACT Government, Administrative Arrangements 2016 (No 5), Schedule 2, Part 2.5.</w:t>
      </w:r>
    </w:p>
  </w:footnote>
  <w:footnote w:id="22">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ab/>
        <w:t xml:space="preserve">These revenues exclude revenue from bulk water services, bulk sewerage services, metropolitan drainage and water services and certain other revenue sources. See: Victoria, Victorian Government Gazette, No G26, 28 June 2012, pp. 1444-1445. </w:t>
      </w:r>
    </w:p>
  </w:footnote>
  <w:footnote w:id="23">
    <w:p w:rsidR="00FF0E78" w:rsidRDefault="00FF0E78">
      <w:pPr>
        <w:pStyle w:val="FootnoteText"/>
      </w:pPr>
      <w:r w:rsidRPr="005A6E67">
        <w:rPr>
          <w:rStyle w:val="FootnoteReference"/>
          <w:rFonts w:asciiTheme="minorHAnsi" w:hAnsiTheme="minorHAnsi" w:cstheme="minorHAnsi"/>
          <w:szCs w:val="16"/>
          <w:vertAlign w:val="baseline"/>
        </w:rPr>
        <w:footnoteRef/>
      </w:r>
      <w:r w:rsidRPr="005A6E67">
        <w:rPr>
          <w:rStyle w:val="FootnoteReference"/>
          <w:rFonts w:asciiTheme="minorHAnsi" w:hAnsiTheme="minorHAnsi" w:cstheme="minorHAnsi"/>
          <w:szCs w:val="16"/>
          <w:vertAlign w:val="baseline"/>
        </w:rPr>
        <w:t xml:space="preserve"> </w:t>
      </w:r>
      <w:r>
        <w:tab/>
        <w:t>Transfer of water allocations must be approved by the local water authority. The transfer does not need to be lodged with the Victorian Water Registrar</w:t>
      </w:r>
      <w:r w:rsidRPr="00411297">
        <w:t xml:space="preserve"> </w:t>
      </w:r>
      <w:r>
        <w:t>to take effect.</w:t>
      </w:r>
    </w:p>
  </w:footnote>
  <w:footnote w:id="24">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Essential Services Commission (Victoria), </w:t>
      </w:r>
      <w:r w:rsidRPr="00C75A64">
        <w:rPr>
          <w:rStyle w:val="FootnoteReference"/>
          <w:i/>
          <w:szCs w:val="16"/>
          <w:vertAlign w:val="baseline"/>
        </w:rPr>
        <w:t>Price Review 2013: Rural Water Businesses – Final Decision</w:t>
      </w:r>
      <w:r w:rsidRPr="006F3A4C">
        <w:rPr>
          <w:rStyle w:val="FootnoteReference"/>
          <w:szCs w:val="16"/>
          <w:vertAlign w:val="baseline"/>
        </w:rPr>
        <w:t>, June 2013, p.67</w:t>
      </w:r>
      <w:r>
        <w:rPr>
          <w:szCs w:val="16"/>
        </w:rPr>
        <w:t xml:space="preserve">, </w:t>
      </w:r>
      <w:hyperlink r:id="rId4" w:history="1">
        <w:r w:rsidRPr="00FF28E1">
          <w:rPr>
            <w:rStyle w:val="Hyperlink"/>
            <w:rFonts w:asciiTheme="minorHAnsi" w:hAnsiTheme="minorHAnsi"/>
            <w:sz w:val="16"/>
            <w:szCs w:val="16"/>
          </w:rPr>
          <w:t>http://www.esc.vic.gov.au/wp-content/uploads/esc/31/318948ed-1c0f-4849-b81f-7ae4809f154d.pdf</w:t>
        </w:r>
      </w:hyperlink>
      <w:r>
        <w:rPr>
          <w:szCs w:val="16"/>
        </w:rPr>
        <w:t>, accessed May 2017</w:t>
      </w:r>
      <w:r w:rsidRPr="006F3A4C">
        <w:rPr>
          <w:rStyle w:val="FootnoteReference"/>
          <w:szCs w:val="16"/>
          <w:vertAlign w:val="baseline"/>
        </w:rPr>
        <w:t xml:space="preserve">. </w:t>
      </w:r>
    </w:p>
  </w:footnote>
  <w:footnote w:id="25">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For GMW, these salinity charges are the ‘operation and maintenance charge’ and the ‘capital charge’. For LMW, these salinity charges are the salinity disposal fees and the ‘Operations and Maintenance Charge’.</w:t>
      </w:r>
    </w:p>
    <w:p w:rsidR="00FF0E78" w:rsidRPr="006F3A4C" w:rsidRDefault="00FF0E78" w:rsidP="003819C6">
      <w:pPr>
        <w:pStyle w:val="Footnote"/>
        <w:rPr>
          <w:rStyle w:val="FootnoteReference"/>
          <w:szCs w:val="16"/>
          <w:vertAlign w:val="baseline"/>
        </w:rPr>
      </w:pPr>
      <w:r w:rsidRPr="006F3A4C">
        <w:rPr>
          <w:rStyle w:val="FootnoteReference"/>
          <w:szCs w:val="16"/>
          <w:vertAlign w:val="baseline"/>
        </w:rPr>
        <w:t xml:space="preserve">        See: Goulburn-Murray Water, ‘Price List 2015−16 ’, </w:t>
      </w:r>
      <w:hyperlink r:id="rId5" w:history="1">
        <w:r w:rsidRPr="003819C6">
          <w:rPr>
            <w:rStyle w:val="Hyperlink"/>
            <w:sz w:val="16"/>
          </w:rPr>
          <w:t>http://www.g</w:t>
        </w:r>
        <w:r w:rsidRPr="003819C6">
          <w:rPr>
            <w:rStyle w:val="Hyperlink"/>
            <w:sz w:val="16"/>
          </w:rPr>
          <w:noBreakHyphen/>
          <w:t>mwater.com.au/downloads/gmw/Pricing_Table_June15.pdf</w:t>
        </w:r>
      </w:hyperlink>
      <w:r w:rsidRPr="006F3A4C">
        <w:rPr>
          <w:rStyle w:val="FootnoteReference"/>
          <w:szCs w:val="16"/>
          <w:vertAlign w:val="baseline"/>
        </w:rPr>
        <w:t xml:space="preserve">, accessed 16/3/16;  Lower Murray Water, ‘Lower Murray Urban &amp; Rural Water Corporation Notice of Resolution of Tariffs ‘, </w:t>
      </w:r>
      <w:hyperlink r:id="rId6" w:history="1">
        <w:r w:rsidRPr="003819C6">
          <w:rPr>
            <w:rStyle w:val="Hyperlink"/>
            <w:sz w:val="16"/>
          </w:rPr>
          <w:t>http://www.lmw.vic.gov.au/LowerMurrayWaterSite/media/FactSheetsBrochures/Tariffs/2015-2016/Rural-Tariffs-2015-2016.pdf</w:t>
        </w:r>
      </w:hyperlink>
      <w:r w:rsidRPr="006F3A4C">
        <w:rPr>
          <w:rStyle w:val="FootnoteReference"/>
          <w:szCs w:val="16"/>
          <w:vertAlign w:val="baseline"/>
        </w:rPr>
        <w:t xml:space="preserve">, accessed 16/3/2017. </w:t>
      </w:r>
    </w:p>
  </w:footnote>
  <w:footnote w:id="26">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Minister for Water, </w:t>
      </w:r>
      <w:r w:rsidRPr="00C75A64">
        <w:rPr>
          <w:rStyle w:val="FootnoteReference"/>
          <w:i/>
          <w:szCs w:val="16"/>
          <w:vertAlign w:val="baseline"/>
        </w:rPr>
        <w:t>Environment and Climate Change, Policies for Managing Water-Use Licenses in Salinity Impact Zones</w:t>
      </w:r>
      <w:r w:rsidRPr="006F3A4C">
        <w:rPr>
          <w:rStyle w:val="FootnoteReference"/>
          <w:szCs w:val="16"/>
          <w:vertAlign w:val="baseline"/>
        </w:rPr>
        <w:t xml:space="preserve">, pp. 5-8, </w:t>
      </w:r>
      <w:hyperlink r:id="rId7" w:history="1">
        <w:r w:rsidRPr="003819C6">
          <w:rPr>
            <w:rStyle w:val="Hyperlink"/>
            <w:sz w:val="16"/>
          </w:rPr>
          <w:t>https://waterregister.vic.gov.au/images/documents/water_use_licences_in_salinity_impact_zone_policies.pdf</w:t>
        </w:r>
      </w:hyperlink>
      <w:r w:rsidRPr="006F3A4C">
        <w:rPr>
          <w:rStyle w:val="FootnoteReference"/>
          <w:szCs w:val="16"/>
          <w:vertAlign w:val="baseline"/>
        </w:rPr>
        <w:t>, accessed 3/2/17.</w:t>
      </w:r>
    </w:p>
  </w:footnote>
  <w:footnote w:id="27">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This fee is levied when a customer applies to transfer an entitlement or allocation (temporary or permanently, including as a result of the sale, sub-division or amalgamation of a property). See: Coliban Water, ‘Rural Transfer Administration Fee 2014/15’, </w:t>
      </w:r>
      <w:hyperlink r:id="rId8" w:history="1">
        <w:r w:rsidRPr="00FF28E1">
          <w:rPr>
            <w:rStyle w:val="Hyperlink"/>
            <w:rFonts w:asciiTheme="minorHAnsi" w:hAnsiTheme="minorHAnsi"/>
            <w:sz w:val="16"/>
            <w:szCs w:val="16"/>
          </w:rPr>
          <w:t>http://www.coliban.com.au/site/root/your_account/documents/Ruraltransferandadminfee_July2014−15.pdf</w:t>
        </w:r>
      </w:hyperlink>
      <w:r w:rsidRPr="006F3A4C">
        <w:rPr>
          <w:rStyle w:val="FootnoteReference"/>
          <w:szCs w:val="16"/>
          <w:vertAlign w:val="baseline"/>
        </w:rPr>
        <w:t>, accessed 18/5/17.</w:t>
      </w:r>
    </w:p>
    <w:p w:rsidR="00FF0E78" w:rsidRPr="006F3A4C" w:rsidRDefault="00FF0E78" w:rsidP="00D53374">
      <w:pPr>
        <w:rPr>
          <w:rStyle w:val="FootnoteReference"/>
          <w:rFonts w:asciiTheme="minorHAnsi" w:hAnsiTheme="minorHAnsi" w:cstheme="minorHAnsi"/>
          <w:sz w:val="16"/>
          <w:szCs w:val="16"/>
          <w:vertAlign w:val="baseline"/>
        </w:rPr>
      </w:pPr>
    </w:p>
  </w:footnote>
  <w:footnote w:id="28">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Natural Resources Management (General) (Fees) Variation Regulations 2015, Schedule 4. </w:t>
      </w:r>
    </w:p>
  </w:footnote>
  <w:footnote w:id="29">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The Environmental Contribution is set under a Ministerial Order-in-Council pursuant to the </w:t>
      </w:r>
      <w:r w:rsidRPr="00C75A64">
        <w:rPr>
          <w:rStyle w:val="FootnoteReference"/>
          <w:i/>
          <w:szCs w:val="16"/>
          <w:vertAlign w:val="baseline"/>
        </w:rPr>
        <w:t>Water Industry Act 1994</w:t>
      </w:r>
      <w:r w:rsidRPr="006F3A4C">
        <w:rPr>
          <w:rStyle w:val="FootnoteReference"/>
          <w:szCs w:val="16"/>
          <w:vertAlign w:val="baseline"/>
        </w:rPr>
        <w:t>. The Environmental Contributions Order 2012−16 sets the relevant revenue multiples See: Victoria, Victorian Government Gazette, No</w:t>
      </w:r>
      <w:r>
        <w:rPr>
          <w:szCs w:val="16"/>
        </w:rPr>
        <w:t>.</w:t>
      </w:r>
      <w:r w:rsidRPr="006F3A4C">
        <w:rPr>
          <w:rStyle w:val="FootnoteReference"/>
          <w:szCs w:val="16"/>
          <w:vertAlign w:val="baseline"/>
        </w:rPr>
        <w:t xml:space="preserve"> G26, 28 June 2012, pp. 1444-1445. </w:t>
      </w:r>
    </w:p>
  </w:footnote>
  <w:footnote w:id="30">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ab/>
        <w:t>These revenues exclude revenue from bulk water services, bulk sewerage services, metropolitan drainage and water services and certain other revenue sources. See: Victoria, Victorian Government Gazette, No</w:t>
      </w:r>
      <w:r>
        <w:rPr>
          <w:szCs w:val="16"/>
        </w:rPr>
        <w:t>.</w:t>
      </w:r>
      <w:r w:rsidRPr="006F3A4C">
        <w:rPr>
          <w:rStyle w:val="FootnoteReference"/>
          <w:szCs w:val="16"/>
          <w:vertAlign w:val="baseline"/>
        </w:rPr>
        <w:t xml:space="preserve"> G26, 28 June 2012, pp. 1444-1445. </w:t>
      </w:r>
    </w:p>
  </w:footnote>
  <w:footnote w:id="31">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Goulburn-Murray Water, ‘Information on water planning and management charges levied and determined by Goulburn-Murray Water’, p.5, </w:t>
      </w:r>
      <w:hyperlink r:id="rId9" w:history="1">
        <w:r w:rsidRPr="003819C6">
          <w:rPr>
            <w:rStyle w:val="Hyperlink"/>
            <w:sz w:val="16"/>
          </w:rPr>
          <w:t>http://www.g-mwater.com.au/downloads/gmw/customerServices/feesAndCharges/TATDOC-_3204018-v2-PLANNING_MANAGEMENT_INFORMATION_RULES_FEE_DESCRIPTIONS_-_2011_12.pdf</w:t>
        </w:r>
      </w:hyperlink>
      <w:r w:rsidRPr="006F3A4C">
        <w:rPr>
          <w:rStyle w:val="FootnoteReference"/>
          <w:szCs w:val="16"/>
          <w:vertAlign w:val="baseline"/>
        </w:rPr>
        <w:t>, accessed 24/1/17.</w:t>
      </w:r>
      <w:r w:rsidRPr="006F3A4C">
        <w:rPr>
          <w:rStyle w:val="FootnoteReference"/>
          <w:szCs w:val="16"/>
          <w:vertAlign w:val="baseline"/>
        </w:rPr>
        <w:br/>
        <w:t xml:space="preserve">Lower Murray Water, ‘Information on water planning and management charges levied and determined by Lower Murray   Water’, p.4, </w:t>
      </w:r>
      <w:hyperlink r:id="rId10" w:history="1">
        <w:r w:rsidRPr="003819C6">
          <w:rPr>
            <w:rStyle w:val="Hyperlink"/>
            <w:sz w:val="16"/>
          </w:rPr>
          <w:t>http://www.lmw.vic.gov.au/LowerMurrayWaterSite/media/FactSheetsBrochures/Govt%20Issued/WCPMIRulesPublication2011-2012.pdf</w:t>
        </w:r>
      </w:hyperlink>
      <w:r w:rsidRPr="006F3A4C">
        <w:rPr>
          <w:rStyle w:val="FootnoteReference"/>
          <w:szCs w:val="16"/>
          <w:vertAlign w:val="baseline"/>
        </w:rPr>
        <w:t>, accessed 24/1/17.</w:t>
      </w:r>
    </w:p>
  </w:footnote>
  <w:footnote w:id="32">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Natural Resources Committee (Parliament of South Australia), Natural Resources South Australia Business Plans and  Regional Levies 2016-17 Committee Report, 7 June 2016, p. 13.</w:t>
      </w:r>
    </w:p>
  </w:footnote>
  <w:footnote w:id="33">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While conducting the analysis for 2015−16, a number of minor errors were identified </w:t>
      </w:r>
      <w:r>
        <w:rPr>
          <w:rStyle w:val="FootnoteReference"/>
          <w:szCs w:val="16"/>
          <w:vertAlign w:val="baseline"/>
        </w:rPr>
        <w:t>i</w:t>
      </w:r>
      <w:r>
        <w:rPr>
          <w:szCs w:val="16"/>
        </w:rPr>
        <w:t>n relation to</w:t>
      </w:r>
      <w:r w:rsidRPr="006F3A4C">
        <w:rPr>
          <w:rStyle w:val="FootnoteReference"/>
          <w:szCs w:val="16"/>
          <w:vertAlign w:val="baseline"/>
        </w:rPr>
        <w:t xml:space="preserve"> previous hypothetical bills</w:t>
      </w:r>
      <w:r>
        <w:rPr>
          <w:szCs w:val="16"/>
        </w:rPr>
        <w:t>, which</w:t>
      </w:r>
      <w:r>
        <w:rPr>
          <w:rStyle w:val="FootnoteReference"/>
          <w:szCs w:val="16"/>
          <w:vertAlign w:val="baseline"/>
        </w:rPr>
        <w:t xml:space="preserve"> </w:t>
      </w:r>
      <w:r w:rsidRPr="006F3A4C">
        <w:rPr>
          <w:rStyle w:val="FootnoteReference"/>
          <w:szCs w:val="16"/>
          <w:vertAlign w:val="baseline"/>
        </w:rPr>
        <w:t>have now been corrected.</w:t>
      </w:r>
      <w:r>
        <w:rPr>
          <w:rStyle w:val="FootnoteReference"/>
          <w:szCs w:val="16"/>
          <w:vertAlign w:val="baseline"/>
        </w:rPr>
        <w:t xml:space="preserve"> As such, </w:t>
      </w:r>
      <w:r>
        <w:rPr>
          <w:szCs w:val="16"/>
        </w:rPr>
        <w:t xml:space="preserve">inclusions in </w:t>
      </w:r>
      <w:r>
        <w:rPr>
          <w:rStyle w:val="FootnoteReference"/>
          <w:szCs w:val="16"/>
          <w:vertAlign w:val="baseline"/>
        </w:rPr>
        <w:t>bills presented in the 2015</w:t>
      </w:r>
      <w:r w:rsidRPr="006F3A4C">
        <w:rPr>
          <w:rStyle w:val="FootnoteReference"/>
          <w:szCs w:val="16"/>
          <w:vertAlign w:val="baseline"/>
        </w:rPr>
        <w:t>−</w:t>
      </w:r>
      <w:r>
        <w:rPr>
          <w:rStyle w:val="FootnoteReference"/>
          <w:szCs w:val="16"/>
          <w:vertAlign w:val="baseline"/>
        </w:rPr>
        <w:t>16 report may differ from those presented in previous reports.</w:t>
      </w:r>
    </w:p>
  </w:footnote>
  <w:footnote w:id="34">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The maximum termination fee analysed is calculated in accordance with the Water Charge (Termination Fees) Rules   2009.</w:t>
      </w:r>
    </w:p>
  </w:footnote>
  <w:footnote w:id="35">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‘Bulk’ refers to a customer who holds a Victorian bulk water entitlement.</w:t>
      </w:r>
    </w:p>
  </w:footnote>
  <w:footnote w:id="36">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An extraction share is a share of the total amount of water that can be drawn from regulated rivers at a certain point over a given period of time. Extraction shares are used to restrict water extraction in times of high demand.  From: Victorian Water Register, ‘Water Dictionary’, </w:t>
      </w:r>
      <w:hyperlink r:id="rId11" w:history="1">
        <w:r w:rsidRPr="003819C6">
          <w:rPr>
            <w:rStyle w:val="Hyperlink"/>
            <w:sz w:val="16"/>
          </w:rPr>
          <w:t>https://waterregister.vic.gov.au/about/index.php?option=com_glossary&amp;view=items&amp;Itemid=136&amp;term_id=28</w:t>
        </w:r>
      </w:hyperlink>
      <w:r w:rsidRPr="006F3A4C">
        <w:rPr>
          <w:rStyle w:val="FootnoteReference"/>
          <w:szCs w:val="16"/>
          <w:vertAlign w:val="baseline"/>
        </w:rPr>
        <w:t>, accessed 10/1/17.</w:t>
      </w:r>
    </w:p>
  </w:footnote>
  <w:footnote w:id="37">
    <w:p w:rsidR="00FF0E78" w:rsidRDefault="00FF0E78">
      <w:pPr>
        <w:pStyle w:val="FootnoteText"/>
      </w:pPr>
      <w:r w:rsidRPr="006731AA">
        <w:rPr>
          <w:rStyle w:val="FootnoteChar"/>
        </w:rPr>
        <w:footnoteRef/>
      </w:r>
      <w:r w:rsidRPr="006731AA">
        <w:rPr>
          <w:rStyle w:val="FootnoteChar"/>
        </w:rPr>
        <w:t xml:space="preserve"> </w:t>
      </w:r>
      <w:r w:rsidRPr="006731AA">
        <w:rPr>
          <w:rStyle w:val="FootnoteChar"/>
        </w:rPr>
        <w:tab/>
      </w:r>
      <w:r>
        <w:t xml:space="preserve">However, certain off-river operators receive a rebate on their charges, known as the ‘Irrigation Corporations and District Rebate’ (ICD rebates). </w:t>
      </w:r>
      <w:r w:rsidRPr="007276EA">
        <w:t xml:space="preserve">These are lump- sum rebates given by WaterNSW </w:t>
      </w:r>
      <w:r>
        <w:t xml:space="preserve">to certain off-river operators </w:t>
      </w:r>
      <w:r w:rsidRPr="007276EA">
        <w:t>for activities that result in avoided costs for WaterNSW or have externalities which benefit customers outside these off- river IOs. This includes cost savings in billing and metering, and ‘some system wide benefits of some of the environmental and licensing information collected by the ICDs as part of their business operations’.</w:t>
      </w:r>
      <w:r>
        <w:t xml:space="preserve"> This rebate is not accounted for in the ACCC’s on-river hypothetical bill analysis. For further information on ICD rebates, see</w:t>
      </w:r>
      <w:r w:rsidRPr="007276EA">
        <w:t xml:space="preserve"> ACCC, </w:t>
      </w:r>
      <w:r w:rsidRPr="007276EA">
        <w:rPr>
          <w:rStyle w:val="Emphasis"/>
        </w:rPr>
        <w:t>ACCC Final Decision on State Wat</w:t>
      </w:r>
      <w:r>
        <w:rPr>
          <w:rStyle w:val="Emphasis"/>
        </w:rPr>
        <w:t>er Pricing Application: 2014−15</w:t>
      </w:r>
      <w:r w:rsidRPr="007276EA">
        <w:rPr>
          <w:rStyle w:val="Emphasis"/>
        </w:rPr>
        <w:t xml:space="preserve"> to 2016-17</w:t>
      </w:r>
      <w:r w:rsidRPr="007276EA">
        <w:t>, June 2014, p. 22.</w:t>
      </w:r>
      <w:r>
        <w:t xml:space="preserve"> </w:t>
      </w:r>
    </w:p>
  </w:footnote>
  <w:footnote w:id="38">
    <w:p w:rsidR="00FF0E78" w:rsidRDefault="00FF0E78">
      <w:pPr>
        <w:pStyle w:val="FootnoteText"/>
      </w:pPr>
      <w:r w:rsidRPr="00FA214E">
        <w:rPr>
          <w:rStyle w:val="FootnoteChar"/>
        </w:rPr>
        <w:footnoteRef/>
      </w:r>
      <w:r w:rsidRPr="00FA214E">
        <w:rPr>
          <w:rStyle w:val="FootnoteChar"/>
        </w:rPr>
        <w:t xml:space="preserve"> </w:t>
      </w:r>
      <w:r>
        <w:tab/>
        <w:t>The ACCC consulted IIOs before deciding which charges to include in hypothetical customer bills.</w:t>
      </w:r>
    </w:p>
  </w:footnote>
  <w:footnote w:id="39">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On-river and off-river infrastructure charges are levied directly on customers by the infrastructure operator when the   infrastructure operator provides both on-river and off-river infrastructure services (for example, GMW and Sun</w:t>
      </w:r>
      <w:r>
        <w:rPr>
          <w:szCs w:val="16"/>
        </w:rPr>
        <w:t>W</w:t>
      </w:r>
      <w:r w:rsidRPr="006F3A4C">
        <w:rPr>
          <w:rStyle w:val="FootnoteReference"/>
          <w:szCs w:val="16"/>
          <w:vertAlign w:val="baseline"/>
        </w:rPr>
        <w:t>ater). On-river infrastructure charges are passed onto the customer when an off-river infrastructure operator is not also the relevant on-river infrastructure operator.</w:t>
      </w:r>
    </w:p>
  </w:footnote>
  <w:footnote w:id="40">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This is in contrast to the 39 network profiles used in the calculation of IO hypothetical bills. </w:t>
      </w:r>
      <w:r>
        <w:rPr>
          <w:szCs w:val="16"/>
        </w:rPr>
        <w:t xml:space="preserve">Hypothetical bills are prepared for CIT’s districts using the ‘all districts except Golden Heights &amp; Sunlands’ tariff category. Within this category, bills are further divided depending on whether the customer receives low, medium, or high pressure irrigation services, as variable charges levied depend on the pressure type. However, given termination fee bills are based on fixed charges only, the hypothetical termination fee does not differ by pressure type; hence only one hypothetical termination fee is prepared for CIT. </w:t>
      </w:r>
      <w:r w:rsidRPr="006F3A4C">
        <w:rPr>
          <w:rStyle w:val="FootnoteReference"/>
          <w:szCs w:val="16"/>
          <w:vertAlign w:val="baseline"/>
        </w:rPr>
        <w:t>Further, SunWater does not impose a termination fee on customers who terminate their right of access to the network.</w:t>
      </w:r>
    </w:p>
  </w:footnote>
  <w:footnote w:id="41">
    <w:p w:rsidR="00FF0E78" w:rsidRDefault="00FF0E78">
      <w:pPr>
        <w:pStyle w:val="FootnoteText"/>
      </w:pPr>
      <w:r w:rsidRPr="006731AA">
        <w:rPr>
          <w:rStyle w:val="FootnoteChar"/>
        </w:rPr>
        <w:footnoteRef/>
      </w:r>
      <w:r>
        <w:t xml:space="preserve"> </w:t>
      </w:r>
      <w:r>
        <w:tab/>
        <w:t>The WCTFR generally limit the maximum amount of a termination fee to 10 times the relevant ‘total network access charge’.</w:t>
      </w:r>
    </w:p>
  </w:footnote>
  <w:footnote w:id="42">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Where a fixed drainage charge is set with reference to something other than the volume of water delivery right held, the level of drainage service is assumed to be equivalent to that used for the IIO hypothetical bills (set out above).</w:t>
      </w:r>
    </w:p>
  </w:footnote>
  <w:footnote w:id="43">
    <w:p w:rsidR="00FF0E78" w:rsidRPr="00A40B37" w:rsidRDefault="00FF0E78" w:rsidP="00CA3D67">
      <w:pPr>
        <w:pStyle w:val="Footnote"/>
        <w:rPr>
          <w:rStyle w:val="FootnoteReference"/>
          <w:szCs w:val="16"/>
          <w:vertAlign w:val="baseline"/>
        </w:rPr>
      </w:pPr>
      <w:r w:rsidRPr="00A40B37">
        <w:rPr>
          <w:rStyle w:val="FootnoteReference"/>
          <w:szCs w:val="16"/>
          <w:vertAlign w:val="baseline"/>
        </w:rPr>
        <w:footnoteRef/>
      </w:r>
      <w:r w:rsidRPr="00A40B37">
        <w:rPr>
          <w:rStyle w:val="FootnoteReference"/>
          <w:szCs w:val="16"/>
          <w:vertAlign w:val="baseline"/>
        </w:rPr>
        <w:t xml:space="preserve"> </w:t>
      </w:r>
      <w:r w:rsidRPr="00A40B37">
        <w:rPr>
          <w:rStyle w:val="FootnoteReference"/>
          <w:szCs w:val="16"/>
          <w:vertAlign w:val="baseline"/>
        </w:rPr>
        <w:tab/>
      </w:r>
      <w:r>
        <w:rPr>
          <w:szCs w:val="16"/>
        </w:rPr>
        <w:t xml:space="preserve">See ACCC, </w:t>
      </w:r>
      <w:r w:rsidRPr="00CA3D67">
        <w:rPr>
          <w:i/>
          <w:szCs w:val="16"/>
        </w:rPr>
        <w:t>Guidelines on goods &amp; services tax &amp; termination fees</w:t>
      </w:r>
      <w:r>
        <w:rPr>
          <w:szCs w:val="16"/>
        </w:rPr>
        <w:t>, June 2014, (</w:t>
      </w:r>
      <w:hyperlink r:id="rId12" w:history="1">
        <w:r w:rsidRPr="00497061">
          <w:rPr>
            <w:rStyle w:val="Hyperlink"/>
            <w:rFonts w:asciiTheme="minorHAnsi" w:hAnsiTheme="minorHAnsi"/>
            <w:sz w:val="16"/>
            <w:szCs w:val="16"/>
          </w:rPr>
          <w:t>https://www.accc.gov.au/publications/guidelines-on-goods-services-tax-termination-fees</w:t>
        </w:r>
      </w:hyperlink>
      <w:r>
        <w:rPr>
          <w:szCs w:val="16"/>
        </w:rPr>
        <w:t>, accessed 13/6/17)</w:t>
      </w:r>
    </w:p>
  </w:footnote>
  <w:footnote w:id="44">
    <w:p w:rsidR="00FF0E78" w:rsidRPr="002411D8" w:rsidRDefault="00FF0E78" w:rsidP="002411D8">
      <w:pPr>
        <w:pStyle w:val="Footnote"/>
      </w:pPr>
      <w:r w:rsidRPr="002411D8">
        <w:rPr>
          <w:rStyle w:val="FootnoteReference"/>
          <w:vertAlign w:val="baseline"/>
        </w:rPr>
        <w:footnoteRef/>
      </w:r>
      <w:r w:rsidRPr="002411D8">
        <w:t xml:space="preserve"> </w:t>
      </w:r>
      <w:r>
        <w:tab/>
        <w:t xml:space="preserve">CIT operates the following irrigation districts: </w:t>
      </w:r>
      <w:r w:rsidRPr="002411D8">
        <w:t xml:space="preserve">Berri, Cadell, Chaggey, Cobdogla, </w:t>
      </w:r>
      <w:r>
        <w:t xml:space="preserve">Golden Heights, </w:t>
      </w:r>
      <w:r w:rsidRPr="002411D8">
        <w:t>Kingston, Loxton, Lyrup,</w:t>
      </w:r>
      <w:r>
        <w:t xml:space="preserve"> Moorook, Mypolonga, Sunlands and Waikerie. CIT’s tariff structure applies one set of charges for districts other than Golden Heights and Sunlands (although variable charges do depend on whether low, medium or high pressure services are received), and individual charges for each of the Golden Heights and Sunlands districts, due to unique circumstances in those districts. </w:t>
      </w:r>
    </w:p>
  </w:footnote>
  <w:footnote w:id="45">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The low pressure network service relates to Berri, Chaffey (Ral Ral), Cobdogla, Kingston, Lyrup, Moorook &amp; Waikerie. The medium pressure network service relates to Cadell and Mypolonga. The high pressure network service relates to Chaffey (Cooltong) &amp; Loxton. Hypothetical bills are not calculated for irrigators using the high lift high pressure irrigation service.  </w:t>
      </w:r>
    </w:p>
  </w:footnote>
  <w:footnote w:id="46">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This conversion rule is assumed after consultation between the ACCC and RIT.</w:t>
      </w:r>
    </w:p>
  </w:footnote>
  <w:footnote w:id="47">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This charge is levied per half year. For the hypothetical bill construction it is converted to a single, yearly charge.</w:t>
      </w:r>
    </w:p>
  </w:footnote>
  <w:footnote w:id="48">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This charge is levied in cents per kilolitre and is converted to dollars per ML for the hypothetical bill construction.</w:t>
      </w:r>
    </w:p>
  </w:footnote>
  <w:footnote w:id="49">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This termination fee of $3360 per hectare is ten times the irrigation access charge per hectare for a full year (i.e. $168/hectare per half year x 2 = $336 per hectare).</w:t>
      </w:r>
    </w:p>
  </w:footnote>
  <w:footnote w:id="50">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This was previously known as Pyramid-Boort.</w:t>
      </w:r>
    </w:p>
  </w:footnote>
  <w:footnote w:id="51">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r>
      <w:r>
        <w:t xml:space="preserve">GMW provided typical irrigator bills for medium and large customers. GMW also advised that the size of the medium and large customers varies across networks and the area for drainage is also different between medium and large customers within the same network. </w:t>
      </w:r>
      <w:r w:rsidRPr="006F3A4C">
        <w:rPr>
          <w:rStyle w:val="FootnoteReference"/>
          <w:szCs w:val="16"/>
          <w:vertAlign w:val="baseline"/>
        </w:rPr>
        <w:t xml:space="preserve">The hectare to ML </w:t>
      </w:r>
      <w:r>
        <w:rPr>
          <w:szCs w:val="16"/>
        </w:rPr>
        <w:t xml:space="preserve">conversion </w:t>
      </w:r>
      <w:r w:rsidRPr="006F3A4C">
        <w:rPr>
          <w:rStyle w:val="FootnoteReference"/>
          <w:szCs w:val="16"/>
          <w:vertAlign w:val="baseline"/>
        </w:rPr>
        <w:t xml:space="preserve">ratio was calculated as the average of </w:t>
      </w:r>
      <w:r>
        <w:rPr>
          <w:szCs w:val="16"/>
        </w:rPr>
        <w:t xml:space="preserve">hectare to </w:t>
      </w:r>
      <w:r w:rsidRPr="006F3A4C">
        <w:rPr>
          <w:rStyle w:val="FootnoteReference"/>
          <w:szCs w:val="16"/>
          <w:vertAlign w:val="baseline"/>
        </w:rPr>
        <w:t xml:space="preserve">ML ratio for medium a customer and the hectare to ML ratio for a large customer. </w:t>
      </w:r>
      <w:r>
        <w:rPr>
          <w:rStyle w:val="FootnoteReference"/>
          <w:szCs w:val="16"/>
          <w:vertAlign w:val="baseline"/>
        </w:rPr>
        <w:t xml:space="preserve">Application of </w:t>
      </w:r>
      <w:r>
        <w:rPr>
          <w:szCs w:val="16"/>
        </w:rPr>
        <w:t>t</w:t>
      </w:r>
      <w:r w:rsidRPr="006F3A4C">
        <w:rPr>
          <w:rStyle w:val="FootnoteReference"/>
          <w:szCs w:val="16"/>
          <w:vertAlign w:val="baseline"/>
        </w:rPr>
        <w:t>h</w:t>
      </w:r>
      <w:r>
        <w:rPr>
          <w:szCs w:val="16"/>
        </w:rPr>
        <w:t>is</w:t>
      </w:r>
      <w:r w:rsidRPr="006F3A4C">
        <w:rPr>
          <w:rStyle w:val="FootnoteReference"/>
          <w:szCs w:val="16"/>
          <w:vertAlign w:val="baseline"/>
        </w:rPr>
        <w:t xml:space="preserve"> ratio </w:t>
      </w:r>
      <w:r>
        <w:rPr>
          <w:rStyle w:val="FootnoteReference"/>
          <w:szCs w:val="16"/>
          <w:vertAlign w:val="baseline"/>
        </w:rPr>
        <w:t>r</w:t>
      </w:r>
      <w:r>
        <w:rPr>
          <w:szCs w:val="16"/>
        </w:rPr>
        <w:t xml:space="preserve">esults in </w:t>
      </w:r>
      <w:r w:rsidRPr="006F3A4C">
        <w:rPr>
          <w:rStyle w:val="FootnoteReference"/>
          <w:szCs w:val="16"/>
          <w:vertAlign w:val="baseline"/>
        </w:rPr>
        <w:t>a different drainage area depending on the water access entitlement scenario.</w:t>
      </w:r>
    </w:p>
  </w:footnote>
  <w:footnote w:id="52">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For Robinvale, Red Cliffs and Merbein this is Property drainage fee Division 1.</w:t>
      </w:r>
    </w:p>
  </w:footnote>
  <w:footnote w:id="53">
    <w:p w:rsidR="00FF0E78" w:rsidRPr="0024454F" w:rsidRDefault="00FF0E78" w:rsidP="003819C6">
      <w:pPr>
        <w:pStyle w:val="Footnote"/>
        <w:rPr>
          <w:rStyle w:val="FootnoteReference"/>
          <w:szCs w:val="16"/>
          <w:vertAlign w:val="baseline"/>
        </w:rPr>
      </w:pPr>
      <w:r w:rsidRPr="0024454F">
        <w:rPr>
          <w:rStyle w:val="FootnoteReference"/>
          <w:szCs w:val="16"/>
          <w:vertAlign w:val="baseline"/>
        </w:rPr>
        <w:footnoteRef/>
      </w:r>
      <w:r w:rsidRPr="0024454F">
        <w:rPr>
          <w:rStyle w:val="FootnoteReference"/>
          <w:szCs w:val="16"/>
          <w:vertAlign w:val="baseline"/>
        </w:rPr>
        <w:t xml:space="preserve"> </w:t>
      </w:r>
      <w:r w:rsidRPr="0024454F">
        <w:rPr>
          <w:rStyle w:val="FootnoteReference"/>
          <w:szCs w:val="16"/>
          <w:vertAlign w:val="baseline"/>
        </w:rPr>
        <w:tab/>
        <w:t>WaterNSW ratio =</w:t>
      </w:r>
      <w:r w:rsidRPr="0024454F">
        <w:rPr>
          <w:szCs w:val="16"/>
        </w:rPr>
        <w:t xml:space="preserve"> (</w:t>
      </w:r>
      <w:r w:rsidRPr="0024454F">
        <w:rPr>
          <w:rStyle w:val="FootnoteReference"/>
          <w:szCs w:val="16"/>
          <w:vertAlign w:val="baseline"/>
        </w:rPr>
        <w:t>WaterNSW fixed charge</w:t>
      </w:r>
      <w:r w:rsidRPr="0024454F">
        <w:rPr>
          <w:szCs w:val="16"/>
        </w:rPr>
        <w:t>)</w:t>
      </w:r>
      <w:r w:rsidRPr="0024454F">
        <w:rPr>
          <w:rStyle w:val="FootnoteReference"/>
          <w:szCs w:val="16"/>
          <w:vertAlign w:val="baseline"/>
        </w:rPr>
        <w:t xml:space="preserve"> /</w:t>
      </w:r>
      <w:r w:rsidRPr="0024454F">
        <w:rPr>
          <w:szCs w:val="16"/>
        </w:rPr>
        <w:t xml:space="preserve"> (</w:t>
      </w:r>
      <w:r w:rsidRPr="0024454F">
        <w:rPr>
          <w:rStyle w:val="FootnoteReference"/>
          <w:szCs w:val="16"/>
          <w:vertAlign w:val="baseline"/>
        </w:rPr>
        <w:t>WaterNSW fixed charge +</w:t>
      </w:r>
      <w:r w:rsidRPr="0024454F">
        <w:rPr>
          <w:szCs w:val="16"/>
        </w:rPr>
        <w:t xml:space="preserve"> </w:t>
      </w:r>
      <w:r w:rsidRPr="0024454F">
        <w:rPr>
          <w:rStyle w:val="FootnoteReference"/>
          <w:szCs w:val="16"/>
          <w:vertAlign w:val="baseline"/>
        </w:rPr>
        <w:t xml:space="preserve">DPI fixed charge). </w:t>
      </w:r>
    </w:p>
  </w:footnote>
  <w:footnote w:id="54">
    <w:p w:rsidR="00FF0E78" w:rsidRPr="006F3A4C" w:rsidRDefault="00FF0E78" w:rsidP="003819C6">
      <w:pPr>
        <w:pStyle w:val="Footnote"/>
        <w:rPr>
          <w:rStyle w:val="FootnoteReference"/>
          <w:szCs w:val="16"/>
          <w:vertAlign w:val="baseline"/>
        </w:rPr>
      </w:pPr>
      <w:r w:rsidRPr="0024454F">
        <w:rPr>
          <w:rStyle w:val="FootnoteReference"/>
          <w:szCs w:val="16"/>
          <w:vertAlign w:val="baseline"/>
        </w:rPr>
        <w:footnoteRef/>
      </w:r>
      <w:r w:rsidRPr="0024454F">
        <w:rPr>
          <w:rStyle w:val="FootnoteReference"/>
          <w:szCs w:val="16"/>
          <w:vertAlign w:val="baseline"/>
        </w:rPr>
        <w:t xml:space="preserve"> </w:t>
      </w:r>
      <w:r w:rsidRPr="0024454F">
        <w:rPr>
          <w:rStyle w:val="FootnoteReference"/>
          <w:szCs w:val="16"/>
          <w:vertAlign w:val="baseline"/>
        </w:rPr>
        <w:tab/>
        <w:t>DPI Water ratio =</w:t>
      </w:r>
      <w:r w:rsidRPr="0024454F">
        <w:rPr>
          <w:szCs w:val="16"/>
        </w:rPr>
        <w:t xml:space="preserve"> (</w:t>
      </w:r>
      <w:r w:rsidRPr="0024454F">
        <w:rPr>
          <w:rStyle w:val="FootnoteReference"/>
          <w:szCs w:val="16"/>
          <w:vertAlign w:val="baseline"/>
        </w:rPr>
        <w:t>DPI fixed charge) / (WaterNSW fixed charge +</w:t>
      </w:r>
      <w:r w:rsidRPr="0024454F">
        <w:rPr>
          <w:szCs w:val="16"/>
        </w:rPr>
        <w:t xml:space="preserve"> </w:t>
      </w:r>
      <w:r w:rsidRPr="0024454F">
        <w:rPr>
          <w:rStyle w:val="FootnoteReference"/>
          <w:szCs w:val="16"/>
          <w:vertAlign w:val="baseline"/>
        </w:rPr>
        <w:t>DPI fixed charge).</w:t>
      </w:r>
    </w:p>
  </w:footnote>
  <w:footnote w:id="55">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B1 is Berriquin irrigation district farms with access to surface drainage with capital payment still outstanding. Water entitlement fee Class C is for General Security. </w:t>
      </w:r>
    </w:p>
  </w:footnote>
  <w:footnote w:id="56">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The WaterNSW ratio is: 6.40/7.37 = 0.8684. The DPI Water ratio is 0.97/7.37 = 0.1316.</w:t>
      </w:r>
    </w:p>
  </w:footnote>
  <w:footnote w:id="57">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During discussions with the ACCC, MIL agreed that this was the most appropriate approach to separate the WaterNSW and DPI Water charge components for monitoring purposes.  </w:t>
      </w:r>
    </w:p>
  </w:footnote>
  <w:footnote w:id="58">
    <w:p w:rsidR="00FF0E78" w:rsidRPr="008E718D" w:rsidRDefault="00FF0E78" w:rsidP="008E718D">
      <w:pPr>
        <w:pStyle w:val="Footnote"/>
      </w:pPr>
      <w:r w:rsidRPr="008E718D">
        <w:rPr>
          <w:rStyle w:val="FootnoteReference"/>
          <w:vertAlign w:val="baseline"/>
        </w:rPr>
        <w:footnoteRef/>
      </w:r>
      <w:r w:rsidRPr="008E718D">
        <w:t xml:space="preserve"> </w:t>
      </w:r>
      <w:r>
        <w:tab/>
        <w:t>Eagle Creek’s Schedule of Charges does not clearly specify whether its fixed charges are specified in relation to ML of water delivery right held or ML of (share of) WAE held. However, since the hypothetical bill analysis assumes that the irrigator holds and equivalent amount of water delivery right and (share of) WAE, this distinction is not material to the analysis.</w:t>
      </w:r>
    </w:p>
  </w:footnote>
  <w:footnote w:id="59">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The electricity </w:t>
      </w:r>
      <w:r>
        <w:rPr>
          <w:rStyle w:val="FootnoteReference"/>
          <w:szCs w:val="16"/>
          <w:vertAlign w:val="baseline"/>
        </w:rPr>
        <w:t>c</w:t>
      </w:r>
      <w:r>
        <w:rPr>
          <w:szCs w:val="16"/>
        </w:rPr>
        <w:t>harge</w:t>
      </w:r>
      <w:r w:rsidRPr="006F3A4C">
        <w:rPr>
          <w:rStyle w:val="FootnoteReference"/>
          <w:szCs w:val="16"/>
          <w:vertAlign w:val="baseline"/>
        </w:rPr>
        <w:t xml:space="preserve"> included in the ACCC’s analysis for Murrumbidgee Irrigation’s IHS charges for 2015−16 is based on the electricity charges actually paid by irrigators (rather than those reported on Murrumbidgee Irrigation’s 2015−16 schedule of charges). Murrumbidgee Irrigation has supplied these actual electricity charges to the ACCC. The ACCC has calculated the IHS electricity charges as the weighted average for peak, shoulder and off-peak times weighted across all IHS pump stations. This is the same method used to calculate electricity charges since 2012−13. However, there is insufficient information available to use this method of calculation for years prior to 2012−13. </w:t>
      </w:r>
    </w:p>
  </w:footnote>
  <w:footnote w:id="60">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Customer information provided by Hay indicates that no actual Hay irrigator holds water access entitlement as large as 1000 ML. However, the ACCC’s general conclusions in chapter 5 and 6 and remain unchanged.</w:t>
      </w:r>
    </w:p>
  </w:footnote>
  <w:footnote w:id="61">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The WaterNSW charge used here is $3.24 /ML. That is, it does not include a deduction </w:t>
      </w:r>
      <w:r>
        <w:rPr>
          <w:szCs w:val="16"/>
        </w:rPr>
        <w:t xml:space="preserve">for the </w:t>
      </w:r>
      <w:r w:rsidRPr="006F3A4C">
        <w:rPr>
          <w:rStyle w:val="FootnoteReference"/>
          <w:szCs w:val="16"/>
          <w:vertAlign w:val="baseline"/>
        </w:rPr>
        <w:t>ICD rebate mentioned above.</w:t>
      </w:r>
    </w:p>
  </w:footnote>
  <w:footnote w:id="62">
    <w:p w:rsidR="00FF0E78" w:rsidRPr="004E13D6" w:rsidRDefault="00FF0E78" w:rsidP="004E13D6">
      <w:pPr>
        <w:pStyle w:val="Footnote"/>
      </w:pPr>
      <w:r w:rsidRPr="004E13D6">
        <w:rPr>
          <w:rStyle w:val="FootnoteReference"/>
          <w:vertAlign w:val="baseline"/>
        </w:rPr>
        <w:footnoteRef/>
      </w:r>
      <w:r w:rsidRPr="004E13D6">
        <w:t xml:space="preserve"> </w:t>
      </w:r>
      <w:r>
        <w:tab/>
        <w:t>Trangie-Nevertire’s schedule of charges specifies variable charges both ‘at river’, and ‘at farm gate’. The farm gate charges include an additional amount to recover costs associated with assumed average off-river conveyance losses of 17 per cent relative to volumes delivered.</w:t>
      </w:r>
    </w:p>
  </w:footnote>
  <w:footnote w:id="63">
    <w:p w:rsidR="00FF0E78" w:rsidRPr="0061311B" w:rsidRDefault="00FF0E78" w:rsidP="0061311B">
      <w:pPr>
        <w:pStyle w:val="Footnote"/>
      </w:pPr>
      <w:r w:rsidRPr="0061311B">
        <w:rPr>
          <w:rStyle w:val="FootnoteReference"/>
          <w:vertAlign w:val="baseline"/>
        </w:rPr>
        <w:footnoteRef/>
      </w:r>
      <w:r w:rsidRPr="0061311B">
        <w:t xml:space="preserve"> </w:t>
      </w:r>
      <w:r>
        <w:tab/>
        <w:t>Marthaguy’s schedule of charges does not specify units for charges. The ACCC has assumed that WPM and on-river infrastructure fixed charges are passed through based on customers’ share of the jointly-held water access entitlement (WAE), while off-river infrastructure fixed charges are levied based on customers’ water delivery rights. However, since the hypothetical bill analysis assumes customers hold an equivalent amount of water delivery right and share of the jointly-held WAE, this assumption has no effect on hypothetical bills.</w:t>
      </w:r>
    </w:p>
  </w:footnote>
  <w:footnote w:id="64">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Marthaguy’s  schedule of charges has not been updated for the change in name to WaterNSW and DPI Water.</w:t>
      </w:r>
    </w:p>
  </w:footnote>
  <w:footnote w:id="65">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The ACCC has assumed 0.4 hectares per ML, following consultation with SunWater.</w:t>
      </w:r>
    </w:p>
  </w:footnote>
  <w:footnote w:id="66">
    <w:p w:rsidR="00FF0E78" w:rsidRPr="006F3A4C" w:rsidRDefault="00FF0E78" w:rsidP="003819C6">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r>
      <w:hyperlink r:id="rId13" w:history="1">
        <w:r w:rsidRPr="006F3A4C">
          <w:rPr>
            <w:rStyle w:val="FootnoteReference"/>
            <w:szCs w:val="16"/>
            <w:vertAlign w:val="baseline"/>
          </w:rPr>
          <w:t>NSW Environmental Water Register</w:t>
        </w:r>
      </w:hyperlink>
      <w:r w:rsidRPr="006F3A4C">
        <w:rPr>
          <w:rStyle w:val="FootnoteReference"/>
          <w:szCs w:val="16"/>
          <w:vertAlign w:val="baseline"/>
        </w:rPr>
        <w:t>, accessed April 2017.</w:t>
      </w:r>
    </w:p>
  </w:footnote>
  <w:footnote w:id="67">
    <w:p w:rsidR="00FF0E78" w:rsidRPr="006F3A4C" w:rsidRDefault="00FF0E78" w:rsidP="005A15F1">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Trade includes transfer – see sections 1.07(2) and (3) of the Murray-Darling Basin Plan 2012.</w:t>
      </w:r>
    </w:p>
  </w:footnote>
  <w:footnote w:id="68">
    <w:p w:rsidR="00FF0E78" w:rsidRPr="006F3A4C" w:rsidRDefault="00FF0E78" w:rsidP="005A15F1">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However, for water allocation trades in Queensland, trade application charges are also presented for trades involving unsupplemented (unregulated) systems (including trades between a supplemented and unsupplemented system).</w:t>
      </w:r>
    </w:p>
  </w:footnote>
  <w:footnote w:id="69">
    <w:p w:rsidR="00FF0E78" w:rsidRPr="006F3A4C" w:rsidRDefault="00FF0E78" w:rsidP="005A15F1">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Water delivered through a supplemented system </w:t>
      </w:r>
      <w:r>
        <w:rPr>
          <w:szCs w:val="16"/>
        </w:rPr>
        <w:t xml:space="preserve">(regulated system) </w:t>
      </w:r>
      <w:r w:rsidRPr="006F3A4C">
        <w:rPr>
          <w:rStyle w:val="FootnoteReference"/>
          <w:szCs w:val="16"/>
          <w:vertAlign w:val="baseline"/>
        </w:rPr>
        <w:t xml:space="preserve">is delivered by SunWater. </w:t>
      </w:r>
    </w:p>
  </w:footnote>
  <w:footnote w:id="70">
    <w:p w:rsidR="00FF0E78" w:rsidRPr="006F3A4C" w:rsidRDefault="00FF0E78" w:rsidP="005A15F1">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Water delivered through an unsupplemented system </w:t>
      </w:r>
      <w:r>
        <w:rPr>
          <w:rStyle w:val="FootnoteReference"/>
          <w:szCs w:val="16"/>
          <w:vertAlign w:val="baseline"/>
        </w:rPr>
        <w:t xml:space="preserve">(unregulated system) </w:t>
      </w:r>
      <w:r w:rsidRPr="006F3A4C">
        <w:rPr>
          <w:rStyle w:val="FootnoteReference"/>
          <w:szCs w:val="16"/>
          <w:vertAlign w:val="baseline"/>
        </w:rPr>
        <w:t xml:space="preserve">is managed by SunWater. </w:t>
      </w:r>
    </w:p>
  </w:footnote>
  <w:footnote w:id="71">
    <w:p w:rsidR="00FF0E78" w:rsidRPr="006F3A4C" w:rsidRDefault="00FF0E78" w:rsidP="00D1718E">
      <w:pPr>
        <w:pStyle w:val="Footnote"/>
        <w:rPr>
          <w:rStyle w:val="FootnoteReference"/>
          <w:szCs w:val="16"/>
          <w:vertAlign w:val="baseline"/>
        </w:rPr>
      </w:pPr>
      <w:r w:rsidRPr="006F3A4C">
        <w:rPr>
          <w:rStyle w:val="FootnoteReference"/>
          <w:szCs w:val="16"/>
          <w:vertAlign w:val="baseline"/>
        </w:rPr>
        <w:footnoteRef/>
      </w:r>
      <w:r w:rsidRPr="006F3A4C">
        <w:rPr>
          <w:rStyle w:val="FootnoteReference"/>
          <w:szCs w:val="16"/>
          <w:vertAlign w:val="baseline"/>
        </w:rPr>
        <w:t xml:space="preserve"> </w:t>
      </w:r>
      <w:r w:rsidRPr="006F3A4C">
        <w:rPr>
          <w:rStyle w:val="FootnoteReference"/>
          <w:szCs w:val="16"/>
          <w:vertAlign w:val="baseline"/>
        </w:rPr>
        <w:tab/>
        <w:t xml:space="preserve">DPI Water, </w:t>
      </w:r>
      <w:r>
        <w:rPr>
          <w:szCs w:val="16"/>
        </w:rPr>
        <w:t>‘</w:t>
      </w:r>
      <w:r w:rsidRPr="006F3A4C">
        <w:rPr>
          <w:rStyle w:val="FootnoteReference"/>
          <w:szCs w:val="16"/>
          <w:vertAlign w:val="baseline"/>
        </w:rPr>
        <w:t>Application fees for water access licenses and approvals</w:t>
      </w:r>
      <w:r>
        <w:rPr>
          <w:rStyle w:val="FootnoteReference"/>
          <w:szCs w:val="16"/>
          <w:vertAlign w:val="baseline"/>
        </w:rPr>
        <w:t>’</w:t>
      </w:r>
      <w:r w:rsidRPr="006F3A4C">
        <w:rPr>
          <w:rStyle w:val="FootnoteReference"/>
          <w:szCs w:val="16"/>
          <w:vertAlign w:val="baseline"/>
        </w:rPr>
        <w:t xml:space="preserve">, July 2015, p. 2, </w:t>
      </w:r>
      <w:hyperlink r:id="rId14" w:history="1">
        <w:r w:rsidRPr="003819C6">
          <w:rPr>
            <w:rStyle w:val="Hyperlink"/>
            <w:sz w:val="16"/>
          </w:rPr>
          <w:t>http://www.water.nsw.gov.au/__data/assets/pdf_file/0020/547112/price_water_mgt_transaction_fees_for_access_licences.pdf</w:t>
        </w:r>
      </w:hyperlink>
      <w:r w:rsidRPr="006F3A4C">
        <w:rPr>
          <w:rStyle w:val="FootnoteReference"/>
          <w:szCs w:val="16"/>
          <w:vertAlign w:val="baseline"/>
        </w:rPr>
        <w:t>, accessed 16/2/17.</w:t>
      </w:r>
    </w:p>
  </w:footnote>
  <w:footnote w:id="72">
    <w:p w:rsidR="00FF0E78" w:rsidRPr="006F3A4C" w:rsidRDefault="00FF0E78" w:rsidP="008761DA">
      <w:pPr>
        <w:pStyle w:val="Footnote"/>
        <w:rPr>
          <w:rStyle w:val="FootnoteReference"/>
          <w:szCs w:val="16"/>
          <w:vertAlign w:val="baseline"/>
        </w:rPr>
      </w:pPr>
      <w:r w:rsidRPr="003819C6">
        <w:rPr>
          <w:rStyle w:val="FootnoteReference"/>
          <w:vertAlign w:val="baseline"/>
        </w:rPr>
        <w:footnoteRef/>
      </w:r>
      <w:r w:rsidRPr="003819C6">
        <w:rPr>
          <w:rStyle w:val="FootnoteReference"/>
          <w:vertAlign w:val="baseline"/>
        </w:rPr>
        <w:t xml:space="preserve">  </w:t>
      </w:r>
      <w:r w:rsidRPr="003819C6">
        <w:rPr>
          <w:rStyle w:val="FootnoteReference"/>
          <w:vertAlign w:val="baseline"/>
        </w:rPr>
        <w:tab/>
      </w:r>
      <w:r w:rsidRPr="003F1051">
        <w:t xml:space="preserve">The commencement of interstate trading is </w:t>
      </w:r>
      <w:r w:rsidRPr="004830BB">
        <w:t>dependent</w:t>
      </w:r>
      <w:r w:rsidRPr="003F1051">
        <w:t xml:space="preserve"> on the agreement of trading protocols with other jurisdictions of the Murray-Darling Basin (MDB).</w:t>
      </w:r>
      <w:r>
        <w:t xml:space="preserve"> See: </w:t>
      </w:r>
      <w:r w:rsidRPr="003819C6">
        <w:rPr>
          <w:rStyle w:val="FootnoteReference"/>
          <w:vertAlign w:val="baseline"/>
        </w:rPr>
        <w:t>ACT Environment, Planning and Sustainable Development Directorate – Environment,</w:t>
      </w:r>
      <w:r w:rsidRPr="006F3A4C">
        <w:rPr>
          <w:rStyle w:val="FootnoteReference"/>
          <w:szCs w:val="16"/>
          <w:vertAlign w:val="baseline"/>
        </w:rPr>
        <w:t xml:space="preserve">   </w:t>
      </w:r>
      <w:hyperlink r:id="rId15" w:history="1">
        <w:r w:rsidRPr="003819C6">
          <w:rPr>
            <w:rStyle w:val="Hyperlink"/>
            <w:rFonts w:cstheme="minorBidi"/>
            <w:sz w:val="16"/>
            <w:szCs w:val="22"/>
          </w:rPr>
          <w:t>http://www.environment.act.gov.au/water/water-regulation/water_trading</w:t>
        </w:r>
      </w:hyperlink>
      <w:r w:rsidRPr="003819C6">
        <w:t>, accessed 4/1/17.</w:t>
      </w:r>
      <w:r w:rsidRPr="006F3A4C">
        <w:rPr>
          <w:rStyle w:val="FootnoteReference"/>
          <w:szCs w:val="16"/>
          <w:vertAlign w:val="baseline"/>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2E124EE"/>
    <w:multiLevelType w:val="hybridMultilevel"/>
    <w:tmpl w:val="40AEABB8"/>
    <w:lvl w:ilvl="0" w:tplc="0C090001">
      <w:start w:val="1"/>
      <w:numFmt w:val="bullet"/>
      <w:lvlText w:val=""/>
      <w:lvlJc w:val="left"/>
      <w:pPr>
        <w:ind w:left="1080" w:hanging="72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6FB7BED"/>
    <w:multiLevelType w:val="multilevel"/>
    <w:tmpl w:val="A3441972"/>
    <w:styleLink w:val="Copyrightbullet"/>
    <w:lvl w:ilvl="0">
      <w:start w:val="1"/>
      <w:numFmt w:val="bullet"/>
      <w:lvlText w:val=""/>
      <w:lvlJc w:val="left"/>
      <w:pPr>
        <w:ind w:left="360" w:hanging="360"/>
      </w:pPr>
      <w:rPr>
        <w:rFonts w:ascii="Symbol" w:hAnsi="Symbol"/>
        <w:color w:val="51626F" w:themeColor="accent1"/>
        <w:sz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07353C11"/>
    <w:multiLevelType w:val="multilevel"/>
    <w:tmpl w:val="2C669D7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7771ECB"/>
    <w:multiLevelType w:val="hybridMultilevel"/>
    <w:tmpl w:val="1616AE66"/>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7F9072A"/>
    <w:multiLevelType w:val="multilevel"/>
    <w:tmpl w:val="A3441972"/>
    <w:numStyleLink w:val="Copyrightbullet"/>
  </w:abstractNum>
  <w:abstractNum w:abstractNumId="14">
    <w:nsid w:val="13124E10"/>
    <w:multiLevelType w:val="multilevel"/>
    <w:tmpl w:val="17428B92"/>
    <w:styleLink w:val="Headings"/>
    <w:lvl w:ilvl="0">
      <w:start w:val="1"/>
      <w:numFmt w:val="decimal"/>
      <w:lvlText w:val="%1."/>
      <w:lvlJc w:val="left"/>
      <w:pPr>
        <w:ind w:left="680" w:hanging="680"/>
      </w:pPr>
      <w:rPr>
        <w:rFonts w:hint="default"/>
      </w:rPr>
    </w:lvl>
    <w:lvl w:ilvl="1">
      <w:start w:val="1"/>
      <w:numFmt w:val="none"/>
      <w:lvlText w:val="%1.1"/>
      <w:lvlJc w:val="left"/>
      <w:pPr>
        <w:ind w:left="851" w:hanging="851"/>
      </w:pPr>
      <w:rPr>
        <w:rFonts w:hint="default"/>
      </w:rPr>
    </w:lvl>
    <w:lvl w:ilvl="2">
      <w:start w:val="1"/>
      <w:numFmt w:val="none"/>
      <w:lvlText w:val="%3%1.1.1"/>
      <w:lvlJc w:val="left"/>
      <w:pPr>
        <w:ind w:left="1475" w:hanging="1191"/>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6">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7">
    <w:nsid w:val="172B7502"/>
    <w:multiLevelType w:val="multilevel"/>
    <w:tmpl w:val="51AA779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D3F02DA"/>
    <w:multiLevelType w:val="multilevel"/>
    <w:tmpl w:val="28BC0364"/>
    <w:lvl w:ilvl="0">
      <w:start w:val="1"/>
      <w:numFmt w:val="bullet"/>
      <w:pStyle w:val="Bulletpoin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34772E6"/>
    <w:multiLevelType w:val="multilevel"/>
    <w:tmpl w:val="A3441972"/>
    <w:numStyleLink w:val="Copyrightbullet"/>
  </w:abstractNum>
  <w:abstractNum w:abstractNumId="20">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2">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4">
    <w:nsid w:val="3D680915"/>
    <w:multiLevelType w:val="multilevel"/>
    <w:tmpl w:val="23168D5A"/>
    <w:lvl w:ilvl="0">
      <w:start w:val="1"/>
      <w:numFmt w:val="decimal"/>
      <w:pStyle w:val="Numbered1"/>
      <w:lvlText w:val="%1."/>
      <w:lvlJc w:val="left"/>
      <w:pPr>
        <w:ind w:left="360" w:hanging="360"/>
      </w:pPr>
    </w:lvl>
    <w:lvl w:ilvl="1">
      <w:start w:val="1"/>
      <w:numFmt w:val="decimal"/>
      <w:pStyle w:val="Numbered11"/>
      <w:isLgl/>
      <w:lvlText w:val="%1.%2"/>
      <w:lvlJc w:val="left"/>
      <w:pPr>
        <w:ind w:left="720" w:hanging="720"/>
      </w:pPr>
      <w:rPr>
        <w:rFonts w:hint="default"/>
      </w:rPr>
    </w:lvl>
    <w:lvl w:ilvl="2">
      <w:start w:val="1"/>
      <w:numFmt w:val="decimal"/>
      <w:pStyle w:val="Numbered111"/>
      <w:isLgl/>
      <w:lvlText w:val="%1.%2.%3"/>
      <w:lvlJc w:val="left"/>
      <w:pPr>
        <w:ind w:left="862"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417018D0"/>
    <w:multiLevelType w:val="hybridMultilevel"/>
    <w:tmpl w:val="196CA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1752A0"/>
    <w:multiLevelType w:val="multilevel"/>
    <w:tmpl w:val="A3441972"/>
    <w:numStyleLink w:val="Copyrightbullet"/>
  </w:abstractNum>
  <w:abstractNum w:abstractNumId="27">
    <w:nsid w:val="57291A0F"/>
    <w:multiLevelType w:val="hybridMultilevel"/>
    <w:tmpl w:val="3782D170"/>
    <w:lvl w:ilvl="0" w:tplc="F4CE0500">
      <w:start w:val="1"/>
      <w:numFmt w:val="lowerRoman"/>
      <w:pStyle w:val="ListLeg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9474DF1"/>
    <w:multiLevelType w:val="multilevel"/>
    <w:tmpl w:val="E7E4AF2E"/>
    <w:lvl w:ilvl="0">
      <w:start w:val="1"/>
      <w:numFmt w:val="decimal"/>
      <w:pStyle w:val="LegalNumbering"/>
      <w:isLgl/>
      <w:lvlText w:val="%1)"/>
      <w:lvlJc w:val="left"/>
      <w:pPr>
        <w:ind w:left="340" w:hanging="340"/>
      </w:pPr>
      <w:rPr>
        <w:rFonts w:hint="default"/>
        <w:b w:val="0"/>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9">
    <w:nsid w:val="5B144A1E"/>
    <w:multiLevelType w:val="hybridMultilevel"/>
    <w:tmpl w:val="30906FD2"/>
    <w:lvl w:ilvl="0" w:tplc="578CF3E6">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611A71BD"/>
    <w:multiLevelType w:val="multilevel"/>
    <w:tmpl w:val="50B22A40"/>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4B5367A"/>
    <w:multiLevelType w:val="multilevel"/>
    <w:tmpl w:val="353C931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6DC52CE"/>
    <w:multiLevelType w:val="multilevel"/>
    <w:tmpl w:val="F8CC5C92"/>
    <w:lvl w:ilvl="0">
      <w:start w:val="1"/>
      <w:numFmt w:val="decimal"/>
      <w:pStyle w:val="Heading9"/>
      <w:lvlText w:val="Table %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35">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36">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37">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38">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9">
    <w:nsid w:val="7E2819EC"/>
    <w:multiLevelType w:val="multilevel"/>
    <w:tmpl w:val="1250F31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7"/>
  </w:num>
  <w:num w:numId="3">
    <w:abstractNumId w:val="6"/>
  </w:num>
  <w:num w:numId="4">
    <w:abstractNumId w:val="5"/>
  </w:num>
  <w:num w:numId="5">
    <w:abstractNumId w:val="4"/>
  </w:num>
  <w:num w:numId="6">
    <w:abstractNumId w:val="1"/>
  </w:num>
  <w:num w:numId="7">
    <w:abstractNumId w:val="0"/>
  </w:num>
  <w:num w:numId="8">
    <w:abstractNumId w:val="34"/>
  </w:num>
  <w:num w:numId="9">
    <w:abstractNumId w:val="22"/>
  </w:num>
  <w:num w:numId="10">
    <w:abstractNumId w:val="21"/>
  </w:num>
  <w:num w:numId="11">
    <w:abstractNumId w:val="2"/>
  </w:num>
  <w:num w:numId="12">
    <w:abstractNumId w:val="35"/>
  </w:num>
  <w:num w:numId="13">
    <w:abstractNumId w:val="38"/>
  </w:num>
  <w:num w:numId="14">
    <w:abstractNumId w:val="37"/>
  </w:num>
  <w:num w:numId="15">
    <w:abstractNumId w:val="28"/>
  </w:num>
  <w:num w:numId="16">
    <w:abstractNumId w:val="20"/>
  </w:num>
  <w:num w:numId="17">
    <w:abstractNumId w:val="23"/>
  </w:num>
  <w:num w:numId="18">
    <w:abstractNumId w:val="36"/>
  </w:num>
  <w:num w:numId="19">
    <w:abstractNumId w:val="30"/>
  </w:num>
  <w:num w:numId="20">
    <w:abstractNumId w:val="8"/>
  </w:num>
  <w:num w:numId="21">
    <w:abstractNumId w:val="3"/>
  </w:num>
  <w:num w:numId="22">
    <w:abstractNumId w:val="16"/>
  </w:num>
  <w:num w:numId="23">
    <w:abstractNumId w:val="33"/>
  </w:num>
  <w:num w:numId="24">
    <w:abstractNumId w:val="27"/>
  </w:num>
  <w:num w:numId="25">
    <w:abstractNumId w:val="10"/>
  </w:num>
  <w:num w:numId="26">
    <w:abstractNumId w:val="13"/>
  </w:num>
  <w:num w:numId="27">
    <w:abstractNumId w:val="19"/>
  </w:num>
  <w:num w:numId="28">
    <w:abstractNumId w:val="26"/>
  </w:num>
  <w:num w:numId="29">
    <w:abstractNumId w:val="14"/>
  </w:num>
  <w:num w:numId="30">
    <w:abstractNumId w:val="24"/>
  </w:num>
  <w:num w:numId="31">
    <w:abstractNumId w:val="29"/>
  </w:num>
  <w:num w:numId="32">
    <w:abstractNumId w:val="25"/>
  </w:num>
  <w:num w:numId="33">
    <w:abstractNumId w:val="9"/>
  </w:num>
  <w:num w:numId="34">
    <w:abstractNumId w:val="12"/>
  </w:num>
  <w:num w:numId="35">
    <w:abstractNumId w:val="32"/>
  </w:num>
  <w:num w:numId="36">
    <w:abstractNumId w:val="31"/>
  </w:num>
  <w:num w:numId="37">
    <w:abstractNumId w:val="11"/>
  </w:num>
  <w:num w:numId="38">
    <w:abstractNumId w:val="17"/>
  </w:num>
  <w:num w:numId="39">
    <w:abstractNumId w:val="18"/>
  </w:num>
  <w:num w:numId="40">
    <w:abstractNumId w:val="18"/>
    <w:lvlOverride w:ilvl="0">
      <w:startOverride w:val="1"/>
    </w:lvlOverride>
  </w:num>
  <w:num w:numId="41">
    <w:abstractNumId w:val="39"/>
  </w:num>
  <w:num w:numId="42">
    <w:abstractNumId w:val="27"/>
    <w:lvlOverride w:ilvl="0">
      <w:startOverride w:val="1"/>
    </w:lvlOverride>
  </w:num>
  <w:num w:numId="43">
    <w:abstractNumId w:val="27"/>
    <w:lvlOverride w:ilvl="0">
      <w:startOverride w:val="1"/>
    </w:lvlOverride>
  </w:num>
  <w:num w:numId="44">
    <w:abstractNumId w:val="27"/>
    <w:lvlOverride w:ilvl="0">
      <w:startOverride w:val="1"/>
    </w:lvlOverride>
  </w:num>
  <w:num w:numId="45">
    <w:abstractNumId w:val="27"/>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trackRevisions/>
  <w:doNotTrackFormatting/>
  <w:defaultTabStop w:val="34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Users\dsmit\AppData\Local\Microsoft\Windows\Temporary Internet Files\Content.Outlook\ENGR9W6Y\D17 79619  ACCC Water Monitoring Report 2015-16 Monitoring Approach and Assumptions - 60722 - version to publications.docx"/>
  </w:docVars>
  <w:rsids>
    <w:rsidRoot w:val="00DC36B0"/>
    <w:rsid w:val="00000817"/>
    <w:rsid w:val="0000109C"/>
    <w:rsid w:val="00002C6C"/>
    <w:rsid w:val="00002ED6"/>
    <w:rsid w:val="00004D68"/>
    <w:rsid w:val="0001020D"/>
    <w:rsid w:val="0001269A"/>
    <w:rsid w:val="000147FD"/>
    <w:rsid w:val="00014BAE"/>
    <w:rsid w:val="00014F7E"/>
    <w:rsid w:val="0001611A"/>
    <w:rsid w:val="00017CEF"/>
    <w:rsid w:val="0002115F"/>
    <w:rsid w:val="00021202"/>
    <w:rsid w:val="00021933"/>
    <w:rsid w:val="000225C4"/>
    <w:rsid w:val="000237DE"/>
    <w:rsid w:val="00023D73"/>
    <w:rsid w:val="000248A0"/>
    <w:rsid w:val="00025D28"/>
    <w:rsid w:val="000261FB"/>
    <w:rsid w:val="00026E6D"/>
    <w:rsid w:val="0003054C"/>
    <w:rsid w:val="00031572"/>
    <w:rsid w:val="00032590"/>
    <w:rsid w:val="00032D89"/>
    <w:rsid w:val="0003545E"/>
    <w:rsid w:val="0003578C"/>
    <w:rsid w:val="00035EB9"/>
    <w:rsid w:val="0003775E"/>
    <w:rsid w:val="00040CF7"/>
    <w:rsid w:val="00041872"/>
    <w:rsid w:val="000460E7"/>
    <w:rsid w:val="00050BD6"/>
    <w:rsid w:val="00060710"/>
    <w:rsid w:val="00063074"/>
    <w:rsid w:val="00063247"/>
    <w:rsid w:val="00063D61"/>
    <w:rsid w:val="0006740C"/>
    <w:rsid w:val="0006776B"/>
    <w:rsid w:val="00070F9F"/>
    <w:rsid w:val="0007137B"/>
    <w:rsid w:val="00072049"/>
    <w:rsid w:val="000721BD"/>
    <w:rsid w:val="00073F4A"/>
    <w:rsid w:val="0007517A"/>
    <w:rsid w:val="0007581F"/>
    <w:rsid w:val="0007745B"/>
    <w:rsid w:val="00077F1D"/>
    <w:rsid w:val="000806CA"/>
    <w:rsid w:val="00081B94"/>
    <w:rsid w:val="00085663"/>
    <w:rsid w:val="00085BC1"/>
    <w:rsid w:val="00085BF8"/>
    <w:rsid w:val="00085EBF"/>
    <w:rsid w:val="00086C52"/>
    <w:rsid w:val="00090618"/>
    <w:rsid w:val="000918CE"/>
    <w:rsid w:val="00094659"/>
    <w:rsid w:val="00096116"/>
    <w:rsid w:val="00096E41"/>
    <w:rsid w:val="0009703E"/>
    <w:rsid w:val="000A3ABF"/>
    <w:rsid w:val="000A560F"/>
    <w:rsid w:val="000A7A9B"/>
    <w:rsid w:val="000B0184"/>
    <w:rsid w:val="000B10FD"/>
    <w:rsid w:val="000B30F8"/>
    <w:rsid w:val="000B3B1C"/>
    <w:rsid w:val="000B4530"/>
    <w:rsid w:val="000B4A40"/>
    <w:rsid w:val="000B566B"/>
    <w:rsid w:val="000B63B9"/>
    <w:rsid w:val="000B66A4"/>
    <w:rsid w:val="000B7522"/>
    <w:rsid w:val="000C22AE"/>
    <w:rsid w:val="000C6BD6"/>
    <w:rsid w:val="000D0205"/>
    <w:rsid w:val="000D122C"/>
    <w:rsid w:val="000D15D9"/>
    <w:rsid w:val="000D2FAE"/>
    <w:rsid w:val="000D325A"/>
    <w:rsid w:val="000D48D7"/>
    <w:rsid w:val="000D602F"/>
    <w:rsid w:val="000D7AAE"/>
    <w:rsid w:val="000E1819"/>
    <w:rsid w:val="000E3A2E"/>
    <w:rsid w:val="000E4233"/>
    <w:rsid w:val="000E6C72"/>
    <w:rsid w:val="000F02F4"/>
    <w:rsid w:val="000F046A"/>
    <w:rsid w:val="000F09F6"/>
    <w:rsid w:val="000F2368"/>
    <w:rsid w:val="000F23BD"/>
    <w:rsid w:val="000F3800"/>
    <w:rsid w:val="000F7074"/>
    <w:rsid w:val="001001BF"/>
    <w:rsid w:val="001004BB"/>
    <w:rsid w:val="0010065B"/>
    <w:rsid w:val="00103932"/>
    <w:rsid w:val="001039B4"/>
    <w:rsid w:val="00105C41"/>
    <w:rsid w:val="00106D6C"/>
    <w:rsid w:val="00111651"/>
    <w:rsid w:val="00112291"/>
    <w:rsid w:val="001126CE"/>
    <w:rsid w:val="00113342"/>
    <w:rsid w:val="00113D95"/>
    <w:rsid w:val="00114E79"/>
    <w:rsid w:val="001156D9"/>
    <w:rsid w:val="00115837"/>
    <w:rsid w:val="00116E11"/>
    <w:rsid w:val="00116EB2"/>
    <w:rsid w:val="00117734"/>
    <w:rsid w:val="00124609"/>
    <w:rsid w:val="00124A79"/>
    <w:rsid w:val="001254B3"/>
    <w:rsid w:val="0012680D"/>
    <w:rsid w:val="00126839"/>
    <w:rsid w:val="00130CCE"/>
    <w:rsid w:val="00135455"/>
    <w:rsid w:val="00136A9C"/>
    <w:rsid w:val="00140FE8"/>
    <w:rsid w:val="00143145"/>
    <w:rsid w:val="00143F3C"/>
    <w:rsid w:val="00144820"/>
    <w:rsid w:val="00146682"/>
    <w:rsid w:val="001470EB"/>
    <w:rsid w:val="00147D30"/>
    <w:rsid w:val="00152699"/>
    <w:rsid w:val="00155B04"/>
    <w:rsid w:val="001573E4"/>
    <w:rsid w:val="00157C4E"/>
    <w:rsid w:val="001606EB"/>
    <w:rsid w:val="00160756"/>
    <w:rsid w:val="00160954"/>
    <w:rsid w:val="00164E1A"/>
    <w:rsid w:val="00166268"/>
    <w:rsid w:val="0017232E"/>
    <w:rsid w:val="00173051"/>
    <w:rsid w:val="00174102"/>
    <w:rsid w:val="0017512C"/>
    <w:rsid w:val="00175185"/>
    <w:rsid w:val="00176913"/>
    <w:rsid w:val="00180157"/>
    <w:rsid w:val="00181223"/>
    <w:rsid w:val="00181594"/>
    <w:rsid w:val="00185DCF"/>
    <w:rsid w:val="00186096"/>
    <w:rsid w:val="00186F77"/>
    <w:rsid w:val="001878FA"/>
    <w:rsid w:val="00191B00"/>
    <w:rsid w:val="001926A4"/>
    <w:rsid w:val="0019461E"/>
    <w:rsid w:val="001948CA"/>
    <w:rsid w:val="00195AE9"/>
    <w:rsid w:val="00196BE3"/>
    <w:rsid w:val="00197E5F"/>
    <w:rsid w:val="001A0696"/>
    <w:rsid w:val="001A0DE8"/>
    <w:rsid w:val="001A1529"/>
    <w:rsid w:val="001A1A3D"/>
    <w:rsid w:val="001A26F2"/>
    <w:rsid w:val="001A30E5"/>
    <w:rsid w:val="001A6DB8"/>
    <w:rsid w:val="001A6E0D"/>
    <w:rsid w:val="001A74FE"/>
    <w:rsid w:val="001A75A4"/>
    <w:rsid w:val="001B1230"/>
    <w:rsid w:val="001B3499"/>
    <w:rsid w:val="001B3BF4"/>
    <w:rsid w:val="001B3F1B"/>
    <w:rsid w:val="001B45A0"/>
    <w:rsid w:val="001C18EE"/>
    <w:rsid w:val="001C1B0F"/>
    <w:rsid w:val="001C222E"/>
    <w:rsid w:val="001C285D"/>
    <w:rsid w:val="001C3657"/>
    <w:rsid w:val="001C4789"/>
    <w:rsid w:val="001C56AE"/>
    <w:rsid w:val="001C6B29"/>
    <w:rsid w:val="001C750D"/>
    <w:rsid w:val="001D055E"/>
    <w:rsid w:val="001D7703"/>
    <w:rsid w:val="001E1120"/>
    <w:rsid w:val="001E144A"/>
    <w:rsid w:val="001E215B"/>
    <w:rsid w:val="001E2D05"/>
    <w:rsid w:val="001E4973"/>
    <w:rsid w:val="001E72B2"/>
    <w:rsid w:val="001E7725"/>
    <w:rsid w:val="001F10B6"/>
    <w:rsid w:val="001F18B1"/>
    <w:rsid w:val="001F2ACA"/>
    <w:rsid w:val="001F32AF"/>
    <w:rsid w:val="001F3637"/>
    <w:rsid w:val="001F372B"/>
    <w:rsid w:val="001F492E"/>
    <w:rsid w:val="001F541D"/>
    <w:rsid w:val="001F6257"/>
    <w:rsid w:val="001F6DA3"/>
    <w:rsid w:val="00201217"/>
    <w:rsid w:val="00202512"/>
    <w:rsid w:val="00203E18"/>
    <w:rsid w:val="002047F7"/>
    <w:rsid w:val="0020490D"/>
    <w:rsid w:val="002058E6"/>
    <w:rsid w:val="0020667E"/>
    <w:rsid w:val="00207A16"/>
    <w:rsid w:val="00210E9D"/>
    <w:rsid w:val="00212737"/>
    <w:rsid w:val="002132A0"/>
    <w:rsid w:val="00216C61"/>
    <w:rsid w:val="0022077A"/>
    <w:rsid w:val="00224B07"/>
    <w:rsid w:val="00224DB9"/>
    <w:rsid w:val="00225412"/>
    <w:rsid w:val="00226478"/>
    <w:rsid w:val="0022760D"/>
    <w:rsid w:val="00230758"/>
    <w:rsid w:val="002411D8"/>
    <w:rsid w:val="00242833"/>
    <w:rsid w:val="00242C5B"/>
    <w:rsid w:val="0024454F"/>
    <w:rsid w:val="00244841"/>
    <w:rsid w:val="00246AB1"/>
    <w:rsid w:val="00246C4B"/>
    <w:rsid w:val="00250D0A"/>
    <w:rsid w:val="00251745"/>
    <w:rsid w:val="0025198B"/>
    <w:rsid w:val="00252B45"/>
    <w:rsid w:val="00253991"/>
    <w:rsid w:val="00260A71"/>
    <w:rsid w:val="00261D00"/>
    <w:rsid w:val="00263AC0"/>
    <w:rsid w:val="00265363"/>
    <w:rsid w:val="002673A1"/>
    <w:rsid w:val="00267408"/>
    <w:rsid w:val="0026772D"/>
    <w:rsid w:val="0026783D"/>
    <w:rsid w:val="00270683"/>
    <w:rsid w:val="002708F3"/>
    <w:rsid w:val="00275A8D"/>
    <w:rsid w:val="0028058E"/>
    <w:rsid w:val="00280BB5"/>
    <w:rsid w:val="00282DF7"/>
    <w:rsid w:val="00282F67"/>
    <w:rsid w:val="00283612"/>
    <w:rsid w:val="00285E5F"/>
    <w:rsid w:val="00286874"/>
    <w:rsid w:val="00286C24"/>
    <w:rsid w:val="00291F9C"/>
    <w:rsid w:val="00296B65"/>
    <w:rsid w:val="002A0CAB"/>
    <w:rsid w:val="002A34A4"/>
    <w:rsid w:val="002A3CDB"/>
    <w:rsid w:val="002A4F5A"/>
    <w:rsid w:val="002A7DEF"/>
    <w:rsid w:val="002B06BF"/>
    <w:rsid w:val="002B0C3A"/>
    <w:rsid w:val="002C2DDB"/>
    <w:rsid w:val="002C41B6"/>
    <w:rsid w:val="002D199F"/>
    <w:rsid w:val="002D2135"/>
    <w:rsid w:val="002D4103"/>
    <w:rsid w:val="002D66AC"/>
    <w:rsid w:val="002E0687"/>
    <w:rsid w:val="002E14E2"/>
    <w:rsid w:val="002E48A6"/>
    <w:rsid w:val="002E4C09"/>
    <w:rsid w:val="002E52C6"/>
    <w:rsid w:val="002E56A4"/>
    <w:rsid w:val="002E5724"/>
    <w:rsid w:val="002F0B05"/>
    <w:rsid w:val="002F205D"/>
    <w:rsid w:val="002F2902"/>
    <w:rsid w:val="002F5A55"/>
    <w:rsid w:val="002F6EAA"/>
    <w:rsid w:val="002F717B"/>
    <w:rsid w:val="002F7498"/>
    <w:rsid w:val="002F74DD"/>
    <w:rsid w:val="002F757B"/>
    <w:rsid w:val="002F7986"/>
    <w:rsid w:val="0030171F"/>
    <w:rsid w:val="0030365F"/>
    <w:rsid w:val="00303C4A"/>
    <w:rsid w:val="00304565"/>
    <w:rsid w:val="00306E70"/>
    <w:rsid w:val="00306F74"/>
    <w:rsid w:val="00307F6D"/>
    <w:rsid w:val="003102B3"/>
    <w:rsid w:val="003125D4"/>
    <w:rsid w:val="00315836"/>
    <w:rsid w:val="003177A2"/>
    <w:rsid w:val="003178B3"/>
    <w:rsid w:val="003207E0"/>
    <w:rsid w:val="003216B8"/>
    <w:rsid w:val="0032703C"/>
    <w:rsid w:val="003271B5"/>
    <w:rsid w:val="00330ADF"/>
    <w:rsid w:val="00331264"/>
    <w:rsid w:val="00331AED"/>
    <w:rsid w:val="00334C8D"/>
    <w:rsid w:val="00334D58"/>
    <w:rsid w:val="00334E31"/>
    <w:rsid w:val="00340655"/>
    <w:rsid w:val="003411F4"/>
    <w:rsid w:val="00344083"/>
    <w:rsid w:val="00344E96"/>
    <w:rsid w:val="003459E6"/>
    <w:rsid w:val="003518B3"/>
    <w:rsid w:val="0035254D"/>
    <w:rsid w:val="003532D2"/>
    <w:rsid w:val="003542EF"/>
    <w:rsid w:val="00356179"/>
    <w:rsid w:val="003576EB"/>
    <w:rsid w:val="00357EBF"/>
    <w:rsid w:val="003621AC"/>
    <w:rsid w:val="00363AE1"/>
    <w:rsid w:val="00366872"/>
    <w:rsid w:val="00366898"/>
    <w:rsid w:val="00366DD8"/>
    <w:rsid w:val="00371BE3"/>
    <w:rsid w:val="00372231"/>
    <w:rsid w:val="00375CA1"/>
    <w:rsid w:val="00377245"/>
    <w:rsid w:val="003819C6"/>
    <w:rsid w:val="00381A37"/>
    <w:rsid w:val="0038301A"/>
    <w:rsid w:val="003846F1"/>
    <w:rsid w:val="003860E4"/>
    <w:rsid w:val="00386EA0"/>
    <w:rsid w:val="00392A99"/>
    <w:rsid w:val="00392DCF"/>
    <w:rsid w:val="0039465C"/>
    <w:rsid w:val="00394F21"/>
    <w:rsid w:val="00395E9A"/>
    <w:rsid w:val="00395F89"/>
    <w:rsid w:val="003A1298"/>
    <w:rsid w:val="003A21E0"/>
    <w:rsid w:val="003A379A"/>
    <w:rsid w:val="003A57E8"/>
    <w:rsid w:val="003A673F"/>
    <w:rsid w:val="003B37EF"/>
    <w:rsid w:val="003B47D3"/>
    <w:rsid w:val="003B5A70"/>
    <w:rsid w:val="003C28BE"/>
    <w:rsid w:val="003C36EF"/>
    <w:rsid w:val="003C3F01"/>
    <w:rsid w:val="003C427C"/>
    <w:rsid w:val="003C515E"/>
    <w:rsid w:val="003C5F1B"/>
    <w:rsid w:val="003C7597"/>
    <w:rsid w:val="003C7EB9"/>
    <w:rsid w:val="003D0789"/>
    <w:rsid w:val="003D2AFA"/>
    <w:rsid w:val="003D33D1"/>
    <w:rsid w:val="003E0626"/>
    <w:rsid w:val="003E5140"/>
    <w:rsid w:val="003E537F"/>
    <w:rsid w:val="003E694C"/>
    <w:rsid w:val="003E78BB"/>
    <w:rsid w:val="003F1051"/>
    <w:rsid w:val="003F4E76"/>
    <w:rsid w:val="003F5C53"/>
    <w:rsid w:val="003F69E9"/>
    <w:rsid w:val="00404A81"/>
    <w:rsid w:val="00406034"/>
    <w:rsid w:val="004104D0"/>
    <w:rsid w:val="00411297"/>
    <w:rsid w:val="00413995"/>
    <w:rsid w:val="00414A24"/>
    <w:rsid w:val="004178A1"/>
    <w:rsid w:val="00420B9B"/>
    <w:rsid w:val="00421FBE"/>
    <w:rsid w:val="00424F34"/>
    <w:rsid w:val="00424F78"/>
    <w:rsid w:val="00431591"/>
    <w:rsid w:val="00431C1D"/>
    <w:rsid w:val="00433158"/>
    <w:rsid w:val="00437E76"/>
    <w:rsid w:val="004405B5"/>
    <w:rsid w:val="0044085A"/>
    <w:rsid w:val="004409E9"/>
    <w:rsid w:val="00442BD1"/>
    <w:rsid w:val="004432EE"/>
    <w:rsid w:val="00444351"/>
    <w:rsid w:val="004456C1"/>
    <w:rsid w:val="00451350"/>
    <w:rsid w:val="00451874"/>
    <w:rsid w:val="004523EC"/>
    <w:rsid w:val="00452CB9"/>
    <w:rsid w:val="0045450C"/>
    <w:rsid w:val="004571EC"/>
    <w:rsid w:val="0046008B"/>
    <w:rsid w:val="004600A9"/>
    <w:rsid w:val="004609AF"/>
    <w:rsid w:val="004645BE"/>
    <w:rsid w:val="004645BF"/>
    <w:rsid w:val="00471685"/>
    <w:rsid w:val="00471ABC"/>
    <w:rsid w:val="0047471B"/>
    <w:rsid w:val="00474C96"/>
    <w:rsid w:val="00475DDE"/>
    <w:rsid w:val="00477596"/>
    <w:rsid w:val="00480579"/>
    <w:rsid w:val="00480B4B"/>
    <w:rsid w:val="004830BB"/>
    <w:rsid w:val="00484247"/>
    <w:rsid w:val="00485DC4"/>
    <w:rsid w:val="00486288"/>
    <w:rsid w:val="00491E0F"/>
    <w:rsid w:val="004930D3"/>
    <w:rsid w:val="004932BF"/>
    <w:rsid w:val="00494C8A"/>
    <w:rsid w:val="00496331"/>
    <w:rsid w:val="0049682D"/>
    <w:rsid w:val="004A0D09"/>
    <w:rsid w:val="004A1ADA"/>
    <w:rsid w:val="004A301C"/>
    <w:rsid w:val="004A444F"/>
    <w:rsid w:val="004A6913"/>
    <w:rsid w:val="004B149A"/>
    <w:rsid w:val="004B216E"/>
    <w:rsid w:val="004B3D6E"/>
    <w:rsid w:val="004B4265"/>
    <w:rsid w:val="004B4412"/>
    <w:rsid w:val="004B5636"/>
    <w:rsid w:val="004B68FD"/>
    <w:rsid w:val="004B79DE"/>
    <w:rsid w:val="004C274B"/>
    <w:rsid w:val="004C2DE6"/>
    <w:rsid w:val="004C348C"/>
    <w:rsid w:val="004C4071"/>
    <w:rsid w:val="004C423F"/>
    <w:rsid w:val="004C5AA3"/>
    <w:rsid w:val="004D0339"/>
    <w:rsid w:val="004D08B7"/>
    <w:rsid w:val="004D1487"/>
    <w:rsid w:val="004D2B13"/>
    <w:rsid w:val="004D4D44"/>
    <w:rsid w:val="004D52D0"/>
    <w:rsid w:val="004D55BA"/>
    <w:rsid w:val="004D56E5"/>
    <w:rsid w:val="004D6215"/>
    <w:rsid w:val="004D6CFB"/>
    <w:rsid w:val="004D6F87"/>
    <w:rsid w:val="004D7409"/>
    <w:rsid w:val="004E073D"/>
    <w:rsid w:val="004E13D6"/>
    <w:rsid w:val="004E21D1"/>
    <w:rsid w:val="004E265E"/>
    <w:rsid w:val="004F0C6C"/>
    <w:rsid w:val="004F2E29"/>
    <w:rsid w:val="004F3454"/>
    <w:rsid w:val="004F54F6"/>
    <w:rsid w:val="004F56D3"/>
    <w:rsid w:val="004F645E"/>
    <w:rsid w:val="004F72DA"/>
    <w:rsid w:val="004F7D4D"/>
    <w:rsid w:val="0050380F"/>
    <w:rsid w:val="005038DB"/>
    <w:rsid w:val="00504E52"/>
    <w:rsid w:val="00505D09"/>
    <w:rsid w:val="00505F8A"/>
    <w:rsid w:val="005105A3"/>
    <w:rsid w:val="00511196"/>
    <w:rsid w:val="00512140"/>
    <w:rsid w:val="0051249D"/>
    <w:rsid w:val="00516314"/>
    <w:rsid w:val="005163A6"/>
    <w:rsid w:val="0051669E"/>
    <w:rsid w:val="0051686D"/>
    <w:rsid w:val="00520338"/>
    <w:rsid w:val="005255B1"/>
    <w:rsid w:val="00530128"/>
    <w:rsid w:val="005313AB"/>
    <w:rsid w:val="00532467"/>
    <w:rsid w:val="00533A3F"/>
    <w:rsid w:val="00534903"/>
    <w:rsid w:val="00535CB6"/>
    <w:rsid w:val="005403A7"/>
    <w:rsid w:val="005404DA"/>
    <w:rsid w:val="00542011"/>
    <w:rsid w:val="00543A69"/>
    <w:rsid w:val="00544346"/>
    <w:rsid w:val="00544871"/>
    <w:rsid w:val="00546650"/>
    <w:rsid w:val="00547CCF"/>
    <w:rsid w:val="00550094"/>
    <w:rsid w:val="00554E5B"/>
    <w:rsid w:val="005575DC"/>
    <w:rsid w:val="00557CD8"/>
    <w:rsid w:val="005620E8"/>
    <w:rsid w:val="0056402C"/>
    <w:rsid w:val="00564797"/>
    <w:rsid w:val="00564A4D"/>
    <w:rsid w:val="00564AB0"/>
    <w:rsid w:val="00565DE1"/>
    <w:rsid w:val="00571B35"/>
    <w:rsid w:val="00571C9F"/>
    <w:rsid w:val="00577A09"/>
    <w:rsid w:val="00580647"/>
    <w:rsid w:val="00582A0C"/>
    <w:rsid w:val="00583030"/>
    <w:rsid w:val="00584D8F"/>
    <w:rsid w:val="005854DA"/>
    <w:rsid w:val="00590336"/>
    <w:rsid w:val="00590644"/>
    <w:rsid w:val="00594B6C"/>
    <w:rsid w:val="00596D42"/>
    <w:rsid w:val="005972B5"/>
    <w:rsid w:val="00597732"/>
    <w:rsid w:val="005A0E86"/>
    <w:rsid w:val="005A15F1"/>
    <w:rsid w:val="005A404D"/>
    <w:rsid w:val="005A4427"/>
    <w:rsid w:val="005A6E67"/>
    <w:rsid w:val="005A6FCE"/>
    <w:rsid w:val="005A71A3"/>
    <w:rsid w:val="005A7707"/>
    <w:rsid w:val="005B12D0"/>
    <w:rsid w:val="005B17C1"/>
    <w:rsid w:val="005B1E3C"/>
    <w:rsid w:val="005B4A07"/>
    <w:rsid w:val="005B593C"/>
    <w:rsid w:val="005B6632"/>
    <w:rsid w:val="005B6A21"/>
    <w:rsid w:val="005B6C00"/>
    <w:rsid w:val="005C115D"/>
    <w:rsid w:val="005C26CC"/>
    <w:rsid w:val="005C2F12"/>
    <w:rsid w:val="005C72AB"/>
    <w:rsid w:val="005D0074"/>
    <w:rsid w:val="005D29BA"/>
    <w:rsid w:val="005D2F0F"/>
    <w:rsid w:val="005D5006"/>
    <w:rsid w:val="005D5DC0"/>
    <w:rsid w:val="005D7373"/>
    <w:rsid w:val="005E23FC"/>
    <w:rsid w:val="005E4740"/>
    <w:rsid w:val="005E5B4A"/>
    <w:rsid w:val="005E6C0E"/>
    <w:rsid w:val="005F0DF6"/>
    <w:rsid w:val="005F35E5"/>
    <w:rsid w:val="005F6AC3"/>
    <w:rsid w:val="005F71C8"/>
    <w:rsid w:val="00602DBF"/>
    <w:rsid w:val="0060427D"/>
    <w:rsid w:val="00605C66"/>
    <w:rsid w:val="00610BC5"/>
    <w:rsid w:val="00611115"/>
    <w:rsid w:val="0061115E"/>
    <w:rsid w:val="00612BC8"/>
    <w:rsid w:val="0061311B"/>
    <w:rsid w:val="00615198"/>
    <w:rsid w:val="00615C6B"/>
    <w:rsid w:val="00622479"/>
    <w:rsid w:val="00624830"/>
    <w:rsid w:val="00626555"/>
    <w:rsid w:val="00627511"/>
    <w:rsid w:val="00631B2D"/>
    <w:rsid w:val="00632D6D"/>
    <w:rsid w:val="00633487"/>
    <w:rsid w:val="00634038"/>
    <w:rsid w:val="0063589F"/>
    <w:rsid w:val="00635ED6"/>
    <w:rsid w:val="00636D5C"/>
    <w:rsid w:val="00642C3E"/>
    <w:rsid w:val="006449F2"/>
    <w:rsid w:val="00646225"/>
    <w:rsid w:val="00646544"/>
    <w:rsid w:val="00647692"/>
    <w:rsid w:val="00653766"/>
    <w:rsid w:val="0065619B"/>
    <w:rsid w:val="00657EA7"/>
    <w:rsid w:val="00661484"/>
    <w:rsid w:val="00663DAD"/>
    <w:rsid w:val="006658AA"/>
    <w:rsid w:val="00666C69"/>
    <w:rsid w:val="00667ABC"/>
    <w:rsid w:val="006707D2"/>
    <w:rsid w:val="006708B5"/>
    <w:rsid w:val="00670D00"/>
    <w:rsid w:val="006721FA"/>
    <w:rsid w:val="006731AA"/>
    <w:rsid w:val="00676679"/>
    <w:rsid w:val="00682462"/>
    <w:rsid w:val="00683956"/>
    <w:rsid w:val="00684AE4"/>
    <w:rsid w:val="00684C09"/>
    <w:rsid w:val="00685E00"/>
    <w:rsid w:val="00687F39"/>
    <w:rsid w:val="006930B0"/>
    <w:rsid w:val="0069503E"/>
    <w:rsid w:val="00697412"/>
    <w:rsid w:val="006A12A7"/>
    <w:rsid w:val="006A14A2"/>
    <w:rsid w:val="006A2EE5"/>
    <w:rsid w:val="006A5C80"/>
    <w:rsid w:val="006A7748"/>
    <w:rsid w:val="006A77CA"/>
    <w:rsid w:val="006B2AA6"/>
    <w:rsid w:val="006B2D99"/>
    <w:rsid w:val="006B464C"/>
    <w:rsid w:val="006B4CF9"/>
    <w:rsid w:val="006B4D12"/>
    <w:rsid w:val="006B55E3"/>
    <w:rsid w:val="006B7AC8"/>
    <w:rsid w:val="006C0298"/>
    <w:rsid w:val="006C45A3"/>
    <w:rsid w:val="006C4A38"/>
    <w:rsid w:val="006C6F30"/>
    <w:rsid w:val="006D3624"/>
    <w:rsid w:val="006D4058"/>
    <w:rsid w:val="006D550F"/>
    <w:rsid w:val="006D77F3"/>
    <w:rsid w:val="006E2024"/>
    <w:rsid w:val="006E3CAD"/>
    <w:rsid w:val="006E3D15"/>
    <w:rsid w:val="006F0EBB"/>
    <w:rsid w:val="006F1F7E"/>
    <w:rsid w:val="006F3A4C"/>
    <w:rsid w:val="00700191"/>
    <w:rsid w:val="00701CAB"/>
    <w:rsid w:val="00704713"/>
    <w:rsid w:val="007053DF"/>
    <w:rsid w:val="00707563"/>
    <w:rsid w:val="00707AE6"/>
    <w:rsid w:val="007101CC"/>
    <w:rsid w:val="00713A53"/>
    <w:rsid w:val="00713CE8"/>
    <w:rsid w:val="00714811"/>
    <w:rsid w:val="00716722"/>
    <w:rsid w:val="0071734A"/>
    <w:rsid w:val="00721907"/>
    <w:rsid w:val="00721AD9"/>
    <w:rsid w:val="00721E7F"/>
    <w:rsid w:val="0072348C"/>
    <w:rsid w:val="00724563"/>
    <w:rsid w:val="00724A37"/>
    <w:rsid w:val="00726926"/>
    <w:rsid w:val="00727091"/>
    <w:rsid w:val="007276EA"/>
    <w:rsid w:val="007303C3"/>
    <w:rsid w:val="00731869"/>
    <w:rsid w:val="00731F85"/>
    <w:rsid w:val="00732C3F"/>
    <w:rsid w:val="00735311"/>
    <w:rsid w:val="00736096"/>
    <w:rsid w:val="00736EBA"/>
    <w:rsid w:val="00740A14"/>
    <w:rsid w:val="00742093"/>
    <w:rsid w:val="00742ECB"/>
    <w:rsid w:val="00743223"/>
    <w:rsid w:val="00744D11"/>
    <w:rsid w:val="007452D5"/>
    <w:rsid w:val="00745CE1"/>
    <w:rsid w:val="00746CB6"/>
    <w:rsid w:val="00746E01"/>
    <w:rsid w:val="00751848"/>
    <w:rsid w:val="00751B7F"/>
    <w:rsid w:val="00755CBD"/>
    <w:rsid w:val="00760614"/>
    <w:rsid w:val="00760A6A"/>
    <w:rsid w:val="00761B24"/>
    <w:rsid w:val="00763E5D"/>
    <w:rsid w:val="007654DA"/>
    <w:rsid w:val="00767391"/>
    <w:rsid w:val="00767740"/>
    <w:rsid w:val="007678F4"/>
    <w:rsid w:val="007773E5"/>
    <w:rsid w:val="00777EE6"/>
    <w:rsid w:val="00782EEA"/>
    <w:rsid w:val="0078449B"/>
    <w:rsid w:val="00784D9F"/>
    <w:rsid w:val="007850FE"/>
    <w:rsid w:val="00785CA3"/>
    <w:rsid w:val="00790E5A"/>
    <w:rsid w:val="007927EC"/>
    <w:rsid w:val="00796625"/>
    <w:rsid w:val="00797C8F"/>
    <w:rsid w:val="007A3A49"/>
    <w:rsid w:val="007A3CE0"/>
    <w:rsid w:val="007A5B02"/>
    <w:rsid w:val="007B2C72"/>
    <w:rsid w:val="007B4DB2"/>
    <w:rsid w:val="007B5048"/>
    <w:rsid w:val="007B6948"/>
    <w:rsid w:val="007B74F7"/>
    <w:rsid w:val="007C1600"/>
    <w:rsid w:val="007C1C53"/>
    <w:rsid w:val="007C61A0"/>
    <w:rsid w:val="007D05C8"/>
    <w:rsid w:val="007D35B9"/>
    <w:rsid w:val="007D426A"/>
    <w:rsid w:val="007D4A91"/>
    <w:rsid w:val="007D4CFA"/>
    <w:rsid w:val="007D5BB6"/>
    <w:rsid w:val="007D617F"/>
    <w:rsid w:val="007D6CA1"/>
    <w:rsid w:val="007D74DB"/>
    <w:rsid w:val="007E055C"/>
    <w:rsid w:val="007E0CBD"/>
    <w:rsid w:val="007E26A9"/>
    <w:rsid w:val="007E3DE8"/>
    <w:rsid w:val="007E4904"/>
    <w:rsid w:val="007E4CB5"/>
    <w:rsid w:val="007E5B2B"/>
    <w:rsid w:val="007F01C3"/>
    <w:rsid w:val="007F066B"/>
    <w:rsid w:val="007F3406"/>
    <w:rsid w:val="007F493C"/>
    <w:rsid w:val="007F4F20"/>
    <w:rsid w:val="007F5E09"/>
    <w:rsid w:val="007F7DB8"/>
    <w:rsid w:val="00801FA0"/>
    <w:rsid w:val="008024C6"/>
    <w:rsid w:val="00803233"/>
    <w:rsid w:val="008033C4"/>
    <w:rsid w:val="00804AF9"/>
    <w:rsid w:val="0080592C"/>
    <w:rsid w:val="008068E2"/>
    <w:rsid w:val="00806C88"/>
    <w:rsid w:val="00807DD6"/>
    <w:rsid w:val="0081034E"/>
    <w:rsid w:val="008104FF"/>
    <w:rsid w:val="008174E0"/>
    <w:rsid w:val="00817C6C"/>
    <w:rsid w:val="00825451"/>
    <w:rsid w:val="00825D71"/>
    <w:rsid w:val="00826D0D"/>
    <w:rsid w:val="00826FF0"/>
    <w:rsid w:val="00830821"/>
    <w:rsid w:val="00832589"/>
    <w:rsid w:val="008344F6"/>
    <w:rsid w:val="0083510F"/>
    <w:rsid w:val="00843104"/>
    <w:rsid w:val="00844FB9"/>
    <w:rsid w:val="00845049"/>
    <w:rsid w:val="00845B8E"/>
    <w:rsid w:val="0084652B"/>
    <w:rsid w:val="008474DA"/>
    <w:rsid w:val="00850512"/>
    <w:rsid w:val="00851209"/>
    <w:rsid w:val="0085162B"/>
    <w:rsid w:val="00852558"/>
    <w:rsid w:val="00853D22"/>
    <w:rsid w:val="00860A6F"/>
    <w:rsid w:val="008613B9"/>
    <w:rsid w:val="00863195"/>
    <w:rsid w:val="008658CD"/>
    <w:rsid w:val="0087040C"/>
    <w:rsid w:val="00870FA5"/>
    <w:rsid w:val="00872067"/>
    <w:rsid w:val="00872E64"/>
    <w:rsid w:val="0087492A"/>
    <w:rsid w:val="00875EAD"/>
    <w:rsid w:val="008761DA"/>
    <w:rsid w:val="008779BB"/>
    <w:rsid w:val="00877AEB"/>
    <w:rsid w:val="0088007E"/>
    <w:rsid w:val="00880DFD"/>
    <w:rsid w:val="008827A5"/>
    <w:rsid w:val="008830C2"/>
    <w:rsid w:val="008837AC"/>
    <w:rsid w:val="00883EAC"/>
    <w:rsid w:val="00885B62"/>
    <w:rsid w:val="008908F0"/>
    <w:rsid w:val="00890929"/>
    <w:rsid w:val="00891EC8"/>
    <w:rsid w:val="00891FF3"/>
    <w:rsid w:val="00894161"/>
    <w:rsid w:val="008945B4"/>
    <w:rsid w:val="00895EDF"/>
    <w:rsid w:val="008969B5"/>
    <w:rsid w:val="0089726F"/>
    <w:rsid w:val="00897AA5"/>
    <w:rsid w:val="008A0877"/>
    <w:rsid w:val="008A1EC5"/>
    <w:rsid w:val="008A2391"/>
    <w:rsid w:val="008A3F81"/>
    <w:rsid w:val="008A458F"/>
    <w:rsid w:val="008A507A"/>
    <w:rsid w:val="008A587D"/>
    <w:rsid w:val="008A5D3F"/>
    <w:rsid w:val="008B1318"/>
    <w:rsid w:val="008B194C"/>
    <w:rsid w:val="008B2A0C"/>
    <w:rsid w:val="008B5B5F"/>
    <w:rsid w:val="008B66B6"/>
    <w:rsid w:val="008B7137"/>
    <w:rsid w:val="008C0370"/>
    <w:rsid w:val="008C0427"/>
    <w:rsid w:val="008C31FC"/>
    <w:rsid w:val="008C36C3"/>
    <w:rsid w:val="008C4957"/>
    <w:rsid w:val="008C5486"/>
    <w:rsid w:val="008C5D2B"/>
    <w:rsid w:val="008D08D9"/>
    <w:rsid w:val="008D1932"/>
    <w:rsid w:val="008D576E"/>
    <w:rsid w:val="008D57E0"/>
    <w:rsid w:val="008E394F"/>
    <w:rsid w:val="008E592A"/>
    <w:rsid w:val="008E5949"/>
    <w:rsid w:val="008E7031"/>
    <w:rsid w:val="008E718D"/>
    <w:rsid w:val="008F53EC"/>
    <w:rsid w:val="008F68EF"/>
    <w:rsid w:val="008F6C32"/>
    <w:rsid w:val="008F7BEA"/>
    <w:rsid w:val="00901572"/>
    <w:rsid w:val="00903981"/>
    <w:rsid w:val="0090465C"/>
    <w:rsid w:val="00904925"/>
    <w:rsid w:val="0090709A"/>
    <w:rsid w:val="00910699"/>
    <w:rsid w:val="00910D87"/>
    <w:rsid w:val="009112C0"/>
    <w:rsid w:val="00911449"/>
    <w:rsid w:val="009147F4"/>
    <w:rsid w:val="009162A6"/>
    <w:rsid w:val="00916B8B"/>
    <w:rsid w:val="00917D32"/>
    <w:rsid w:val="00920F23"/>
    <w:rsid w:val="00922641"/>
    <w:rsid w:val="009226F0"/>
    <w:rsid w:val="00922C95"/>
    <w:rsid w:val="009233EE"/>
    <w:rsid w:val="00924EF5"/>
    <w:rsid w:val="00925AB4"/>
    <w:rsid w:val="0092680E"/>
    <w:rsid w:val="00930486"/>
    <w:rsid w:val="00932CA5"/>
    <w:rsid w:val="0093328B"/>
    <w:rsid w:val="00936FFE"/>
    <w:rsid w:val="00937062"/>
    <w:rsid w:val="00937A1B"/>
    <w:rsid w:val="00940160"/>
    <w:rsid w:val="00942804"/>
    <w:rsid w:val="00944B2A"/>
    <w:rsid w:val="009460C5"/>
    <w:rsid w:val="009524C9"/>
    <w:rsid w:val="0095333F"/>
    <w:rsid w:val="0095495E"/>
    <w:rsid w:val="00956021"/>
    <w:rsid w:val="009563D7"/>
    <w:rsid w:val="009564A1"/>
    <w:rsid w:val="0095796A"/>
    <w:rsid w:val="00960658"/>
    <w:rsid w:val="00962DA4"/>
    <w:rsid w:val="0096466F"/>
    <w:rsid w:val="009661DE"/>
    <w:rsid w:val="009715E3"/>
    <w:rsid w:val="00972DF9"/>
    <w:rsid w:val="00974954"/>
    <w:rsid w:val="00976038"/>
    <w:rsid w:val="00977484"/>
    <w:rsid w:val="009811AD"/>
    <w:rsid w:val="00982BDF"/>
    <w:rsid w:val="00982EC7"/>
    <w:rsid w:val="0098357B"/>
    <w:rsid w:val="009856B7"/>
    <w:rsid w:val="0098602B"/>
    <w:rsid w:val="00986320"/>
    <w:rsid w:val="009878B3"/>
    <w:rsid w:val="00990154"/>
    <w:rsid w:val="00991B3B"/>
    <w:rsid w:val="00991BAA"/>
    <w:rsid w:val="00992694"/>
    <w:rsid w:val="009943EB"/>
    <w:rsid w:val="0099609B"/>
    <w:rsid w:val="009962BA"/>
    <w:rsid w:val="009A0398"/>
    <w:rsid w:val="009A0B86"/>
    <w:rsid w:val="009A3323"/>
    <w:rsid w:val="009A4235"/>
    <w:rsid w:val="009A46D0"/>
    <w:rsid w:val="009A5595"/>
    <w:rsid w:val="009A6EE3"/>
    <w:rsid w:val="009B0316"/>
    <w:rsid w:val="009B1EF9"/>
    <w:rsid w:val="009B224A"/>
    <w:rsid w:val="009B55BD"/>
    <w:rsid w:val="009B74B0"/>
    <w:rsid w:val="009B7FE0"/>
    <w:rsid w:val="009C2B9C"/>
    <w:rsid w:val="009C2D32"/>
    <w:rsid w:val="009D2DC7"/>
    <w:rsid w:val="009D2ECB"/>
    <w:rsid w:val="009D37F7"/>
    <w:rsid w:val="009D4414"/>
    <w:rsid w:val="009D5EB7"/>
    <w:rsid w:val="009D6B46"/>
    <w:rsid w:val="009D7417"/>
    <w:rsid w:val="009D7B48"/>
    <w:rsid w:val="009E075C"/>
    <w:rsid w:val="009E1648"/>
    <w:rsid w:val="009E1D4E"/>
    <w:rsid w:val="009E21FF"/>
    <w:rsid w:val="009E2593"/>
    <w:rsid w:val="009E6D52"/>
    <w:rsid w:val="009F05E8"/>
    <w:rsid w:val="009F2BE5"/>
    <w:rsid w:val="009F3619"/>
    <w:rsid w:val="009F3F71"/>
    <w:rsid w:val="009F4940"/>
    <w:rsid w:val="009F6CC3"/>
    <w:rsid w:val="009F78F1"/>
    <w:rsid w:val="00A00F3A"/>
    <w:rsid w:val="00A0147D"/>
    <w:rsid w:val="00A0375C"/>
    <w:rsid w:val="00A043AD"/>
    <w:rsid w:val="00A0474B"/>
    <w:rsid w:val="00A100C4"/>
    <w:rsid w:val="00A10DFB"/>
    <w:rsid w:val="00A1151D"/>
    <w:rsid w:val="00A1665B"/>
    <w:rsid w:val="00A20EBB"/>
    <w:rsid w:val="00A21EB6"/>
    <w:rsid w:val="00A2254A"/>
    <w:rsid w:val="00A22CCD"/>
    <w:rsid w:val="00A24441"/>
    <w:rsid w:val="00A24E6C"/>
    <w:rsid w:val="00A34436"/>
    <w:rsid w:val="00A34467"/>
    <w:rsid w:val="00A36AF3"/>
    <w:rsid w:val="00A36FB0"/>
    <w:rsid w:val="00A40B37"/>
    <w:rsid w:val="00A41C4A"/>
    <w:rsid w:val="00A42785"/>
    <w:rsid w:val="00A4478A"/>
    <w:rsid w:val="00A44852"/>
    <w:rsid w:val="00A4761F"/>
    <w:rsid w:val="00A501E4"/>
    <w:rsid w:val="00A51CCB"/>
    <w:rsid w:val="00A52DAF"/>
    <w:rsid w:val="00A535C9"/>
    <w:rsid w:val="00A54873"/>
    <w:rsid w:val="00A55BC9"/>
    <w:rsid w:val="00A568FD"/>
    <w:rsid w:val="00A57D04"/>
    <w:rsid w:val="00A60541"/>
    <w:rsid w:val="00A60A26"/>
    <w:rsid w:val="00A60FAA"/>
    <w:rsid w:val="00A61598"/>
    <w:rsid w:val="00A617F4"/>
    <w:rsid w:val="00A63197"/>
    <w:rsid w:val="00A63D8E"/>
    <w:rsid w:val="00A6748F"/>
    <w:rsid w:val="00A67967"/>
    <w:rsid w:val="00A74400"/>
    <w:rsid w:val="00A762FD"/>
    <w:rsid w:val="00A77093"/>
    <w:rsid w:val="00A77873"/>
    <w:rsid w:val="00A801F8"/>
    <w:rsid w:val="00A811F1"/>
    <w:rsid w:val="00A82ED4"/>
    <w:rsid w:val="00A83A96"/>
    <w:rsid w:val="00A84F46"/>
    <w:rsid w:val="00A85D9D"/>
    <w:rsid w:val="00A86A0A"/>
    <w:rsid w:val="00A871F4"/>
    <w:rsid w:val="00A904C0"/>
    <w:rsid w:val="00A91B29"/>
    <w:rsid w:val="00A92837"/>
    <w:rsid w:val="00A93BC3"/>
    <w:rsid w:val="00A94111"/>
    <w:rsid w:val="00A9531A"/>
    <w:rsid w:val="00A95877"/>
    <w:rsid w:val="00A9588C"/>
    <w:rsid w:val="00A96B40"/>
    <w:rsid w:val="00AA0363"/>
    <w:rsid w:val="00AA0997"/>
    <w:rsid w:val="00AA30EE"/>
    <w:rsid w:val="00AA3256"/>
    <w:rsid w:val="00AA3266"/>
    <w:rsid w:val="00AA4F9F"/>
    <w:rsid w:val="00AB02FC"/>
    <w:rsid w:val="00AB06C3"/>
    <w:rsid w:val="00AB1B25"/>
    <w:rsid w:val="00AB1C0C"/>
    <w:rsid w:val="00AB459B"/>
    <w:rsid w:val="00AB60D0"/>
    <w:rsid w:val="00AC0181"/>
    <w:rsid w:val="00AC0FCF"/>
    <w:rsid w:val="00AC1B2C"/>
    <w:rsid w:val="00AC3264"/>
    <w:rsid w:val="00AC69ED"/>
    <w:rsid w:val="00AC6BF8"/>
    <w:rsid w:val="00AC6F01"/>
    <w:rsid w:val="00AD0BEA"/>
    <w:rsid w:val="00AD2DC7"/>
    <w:rsid w:val="00AD4B69"/>
    <w:rsid w:val="00AE0FE2"/>
    <w:rsid w:val="00AE1BF1"/>
    <w:rsid w:val="00AE3134"/>
    <w:rsid w:val="00AF086F"/>
    <w:rsid w:val="00AF0DD2"/>
    <w:rsid w:val="00AF0E86"/>
    <w:rsid w:val="00AF6F2B"/>
    <w:rsid w:val="00AF6FDE"/>
    <w:rsid w:val="00AF78EF"/>
    <w:rsid w:val="00B0541D"/>
    <w:rsid w:val="00B05B34"/>
    <w:rsid w:val="00B10314"/>
    <w:rsid w:val="00B13048"/>
    <w:rsid w:val="00B15998"/>
    <w:rsid w:val="00B15BE0"/>
    <w:rsid w:val="00B1716D"/>
    <w:rsid w:val="00B17A1D"/>
    <w:rsid w:val="00B17ACC"/>
    <w:rsid w:val="00B207A0"/>
    <w:rsid w:val="00B21593"/>
    <w:rsid w:val="00B21AE3"/>
    <w:rsid w:val="00B2247E"/>
    <w:rsid w:val="00B23562"/>
    <w:rsid w:val="00B2364F"/>
    <w:rsid w:val="00B23D97"/>
    <w:rsid w:val="00B27B83"/>
    <w:rsid w:val="00B27E93"/>
    <w:rsid w:val="00B30993"/>
    <w:rsid w:val="00B31759"/>
    <w:rsid w:val="00B31B92"/>
    <w:rsid w:val="00B31DF5"/>
    <w:rsid w:val="00B33E47"/>
    <w:rsid w:val="00B3504C"/>
    <w:rsid w:val="00B3550B"/>
    <w:rsid w:val="00B365D9"/>
    <w:rsid w:val="00B412FC"/>
    <w:rsid w:val="00B4193D"/>
    <w:rsid w:val="00B42415"/>
    <w:rsid w:val="00B45696"/>
    <w:rsid w:val="00B47553"/>
    <w:rsid w:val="00B5011A"/>
    <w:rsid w:val="00B506F9"/>
    <w:rsid w:val="00B53C4E"/>
    <w:rsid w:val="00B54AB3"/>
    <w:rsid w:val="00B55722"/>
    <w:rsid w:val="00B56E03"/>
    <w:rsid w:val="00B56E12"/>
    <w:rsid w:val="00B60EF8"/>
    <w:rsid w:val="00B60F5D"/>
    <w:rsid w:val="00B61F1C"/>
    <w:rsid w:val="00B61F9B"/>
    <w:rsid w:val="00B63510"/>
    <w:rsid w:val="00B63CE2"/>
    <w:rsid w:val="00B64605"/>
    <w:rsid w:val="00B656E8"/>
    <w:rsid w:val="00B67058"/>
    <w:rsid w:val="00B671D3"/>
    <w:rsid w:val="00B67E91"/>
    <w:rsid w:val="00B7031A"/>
    <w:rsid w:val="00B73FC8"/>
    <w:rsid w:val="00B74F01"/>
    <w:rsid w:val="00B8080B"/>
    <w:rsid w:val="00B80C94"/>
    <w:rsid w:val="00B81226"/>
    <w:rsid w:val="00B83A9A"/>
    <w:rsid w:val="00B84C2E"/>
    <w:rsid w:val="00B85A31"/>
    <w:rsid w:val="00B864A0"/>
    <w:rsid w:val="00B87C39"/>
    <w:rsid w:val="00B924CA"/>
    <w:rsid w:val="00B94497"/>
    <w:rsid w:val="00B963D4"/>
    <w:rsid w:val="00B9660B"/>
    <w:rsid w:val="00B9686E"/>
    <w:rsid w:val="00B96D3B"/>
    <w:rsid w:val="00B976D5"/>
    <w:rsid w:val="00BA1563"/>
    <w:rsid w:val="00BA2B74"/>
    <w:rsid w:val="00BA3ECC"/>
    <w:rsid w:val="00BA3F42"/>
    <w:rsid w:val="00BA4665"/>
    <w:rsid w:val="00BA4B01"/>
    <w:rsid w:val="00BB1C70"/>
    <w:rsid w:val="00BB1FBE"/>
    <w:rsid w:val="00BB2FB2"/>
    <w:rsid w:val="00BB32D4"/>
    <w:rsid w:val="00BB3304"/>
    <w:rsid w:val="00BB6182"/>
    <w:rsid w:val="00BB7097"/>
    <w:rsid w:val="00BC4060"/>
    <w:rsid w:val="00BC564F"/>
    <w:rsid w:val="00BC58AE"/>
    <w:rsid w:val="00BC5C37"/>
    <w:rsid w:val="00BD2114"/>
    <w:rsid w:val="00BD3446"/>
    <w:rsid w:val="00BD3DAB"/>
    <w:rsid w:val="00BD606B"/>
    <w:rsid w:val="00BD687E"/>
    <w:rsid w:val="00BD7A3B"/>
    <w:rsid w:val="00BE1F1B"/>
    <w:rsid w:val="00BE2419"/>
    <w:rsid w:val="00BE257B"/>
    <w:rsid w:val="00BE265E"/>
    <w:rsid w:val="00BE28CA"/>
    <w:rsid w:val="00BE3129"/>
    <w:rsid w:val="00BE443F"/>
    <w:rsid w:val="00BE47B5"/>
    <w:rsid w:val="00BE4B59"/>
    <w:rsid w:val="00BE4C99"/>
    <w:rsid w:val="00BE6845"/>
    <w:rsid w:val="00BF0DEC"/>
    <w:rsid w:val="00BF13C5"/>
    <w:rsid w:val="00BF2F32"/>
    <w:rsid w:val="00BF2F4C"/>
    <w:rsid w:val="00BF3323"/>
    <w:rsid w:val="00BF443F"/>
    <w:rsid w:val="00C00C8A"/>
    <w:rsid w:val="00C058AB"/>
    <w:rsid w:val="00C06739"/>
    <w:rsid w:val="00C119E2"/>
    <w:rsid w:val="00C12952"/>
    <w:rsid w:val="00C134C5"/>
    <w:rsid w:val="00C20B71"/>
    <w:rsid w:val="00C21EF9"/>
    <w:rsid w:val="00C2394F"/>
    <w:rsid w:val="00C310F1"/>
    <w:rsid w:val="00C3174E"/>
    <w:rsid w:val="00C32930"/>
    <w:rsid w:val="00C32DE1"/>
    <w:rsid w:val="00C3676E"/>
    <w:rsid w:val="00C40CD5"/>
    <w:rsid w:val="00C41879"/>
    <w:rsid w:val="00C44450"/>
    <w:rsid w:val="00C447B7"/>
    <w:rsid w:val="00C45954"/>
    <w:rsid w:val="00C464C4"/>
    <w:rsid w:val="00C46E07"/>
    <w:rsid w:val="00C4714D"/>
    <w:rsid w:val="00C4767D"/>
    <w:rsid w:val="00C47A72"/>
    <w:rsid w:val="00C50ABF"/>
    <w:rsid w:val="00C5162C"/>
    <w:rsid w:val="00C524FC"/>
    <w:rsid w:val="00C538A9"/>
    <w:rsid w:val="00C53B5A"/>
    <w:rsid w:val="00C53E21"/>
    <w:rsid w:val="00C54DF6"/>
    <w:rsid w:val="00C54F5A"/>
    <w:rsid w:val="00C5778E"/>
    <w:rsid w:val="00C577D8"/>
    <w:rsid w:val="00C601E0"/>
    <w:rsid w:val="00C60643"/>
    <w:rsid w:val="00C6472E"/>
    <w:rsid w:val="00C7060E"/>
    <w:rsid w:val="00C70C4C"/>
    <w:rsid w:val="00C71B1C"/>
    <w:rsid w:val="00C739A6"/>
    <w:rsid w:val="00C755AD"/>
    <w:rsid w:val="00C756B2"/>
    <w:rsid w:val="00C75A64"/>
    <w:rsid w:val="00C75CC7"/>
    <w:rsid w:val="00C76E24"/>
    <w:rsid w:val="00C8311C"/>
    <w:rsid w:val="00C8376B"/>
    <w:rsid w:val="00C84D66"/>
    <w:rsid w:val="00C86679"/>
    <w:rsid w:val="00C90106"/>
    <w:rsid w:val="00C9092C"/>
    <w:rsid w:val="00C9123F"/>
    <w:rsid w:val="00C91A0F"/>
    <w:rsid w:val="00C91EF1"/>
    <w:rsid w:val="00C93386"/>
    <w:rsid w:val="00CA3D67"/>
    <w:rsid w:val="00CA417B"/>
    <w:rsid w:val="00CA476B"/>
    <w:rsid w:val="00CA5449"/>
    <w:rsid w:val="00CA70EE"/>
    <w:rsid w:val="00CA7728"/>
    <w:rsid w:val="00CA787B"/>
    <w:rsid w:val="00CB0686"/>
    <w:rsid w:val="00CB2730"/>
    <w:rsid w:val="00CB30B5"/>
    <w:rsid w:val="00CB5273"/>
    <w:rsid w:val="00CB54A0"/>
    <w:rsid w:val="00CB666B"/>
    <w:rsid w:val="00CC4684"/>
    <w:rsid w:val="00CD063D"/>
    <w:rsid w:val="00CD1266"/>
    <w:rsid w:val="00CD2442"/>
    <w:rsid w:val="00CD3B71"/>
    <w:rsid w:val="00CD54CF"/>
    <w:rsid w:val="00CD60F0"/>
    <w:rsid w:val="00CD72A0"/>
    <w:rsid w:val="00CD7F03"/>
    <w:rsid w:val="00CE09A2"/>
    <w:rsid w:val="00CE1182"/>
    <w:rsid w:val="00CE3BDD"/>
    <w:rsid w:val="00CE3EB9"/>
    <w:rsid w:val="00CE49B2"/>
    <w:rsid w:val="00CF0FA8"/>
    <w:rsid w:val="00CF3A92"/>
    <w:rsid w:val="00CF3FFC"/>
    <w:rsid w:val="00CF799E"/>
    <w:rsid w:val="00D00BB4"/>
    <w:rsid w:val="00D01CF0"/>
    <w:rsid w:val="00D02953"/>
    <w:rsid w:val="00D04160"/>
    <w:rsid w:val="00D0442A"/>
    <w:rsid w:val="00D04F2B"/>
    <w:rsid w:val="00D05262"/>
    <w:rsid w:val="00D05302"/>
    <w:rsid w:val="00D061CC"/>
    <w:rsid w:val="00D07278"/>
    <w:rsid w:val="00D10A99"/>
    <w:rsid w:val="00D13A2B"/>
    <w:rsid w:val="00D165DA"/>
    <w:rsid w:val="00D1718E"/>
    <w:rsid w:val="00D203E1"/>
    <w:rsid w:val="00D20B1C"/>
    <w:rsid w:val="00D21F63"/>
    <w:rsid w:val="00D22577"/>
    <w:rsid w:val="00D23D6D"/>
    <w:rsid w:val="00D24459"/>
    <w:rsid w:val="00D258C9"/>
    <w:rsid w:val="00D261E8"/>
    <w:rsid w:val="00D26AEC"/>
    <w:rsid w:val="00D31247"/>
    <w:rsid w:val="00D32039"/>
    <w:rsid w:val="00D33BF8"/>
    <w:rsid w:val="00D34D5C"/>
    <w:rsid w:val="00D4614F"/>
    <w:rsid w:val="00D46FEB"/>
    <w:rsid w:val="00D473BA"/>
    <w:rsid w:val="00D50E0A"/>
    <w:rsid w:val="00D513A9"/>
    <w:rsid w:val="00D52269"/>
    <w:rsid w:val="00D53374"/>
    <w:rsid w:val="00D544B8"/>
    <w:rsid w:val="00D54C8E"/>
    <w:rsid w:val="00D5593F"/>
    <w:rsid w:val="00D61388"/>
    <w:rsid w:val="00D61A54"/>
    <w:rsid w:val="00D64AF7"/>
    <w:rsid w:val="00D64DEA"/>
    <w:rsid w:val="00D677ED"/>
    <w:rsid w:val="00D7013D"/>
    <w:rsid w:val="00D70636"/>
    <w:rsid w:val="00D716D5"/>
    <w:rsid w:val="00D73172"/>
    <w:rsid w:val="00D73D5F"/>
    <w:rsid w:val="00D80714"/>
    <w:rsid w:val="00D80893"/>
    <w:rsid w:val="00D82094"/>
    <w:rsid w:val="00D82495"/>
    <w:rsid w:val="00D8464F"/>
    <w:rsid w:val="00D85C54"/>
    <w:rsid w:val="00D90ED4"/>
    <w:rsid w:val="00D92CF1"/>
    <w:rsid w:val="00D92D38"/>
    <w:rsid w:val="00D950F5"/>
    <w:rsid w:val="00D9593D"/>
    <w:rsid w:val="00D959F3"/>
    <w:rsid w:val="00DA01A4"/>
    <w:rsid w:val="00DA181B"/>
    <w:rsid w:val="00DA19A2"/>
    <w:rsid w:val="00DA20C6"/>
    <w:rsid w:val="00DA3625"/>
    <w:rsid w:val="00DA47C0"/>
    <w:rsid w:val="00DA60C7"/>
    <w:rsid w:val="00DA708F"/>
    <w:rsid w:val="00DB0F93"/>
    <w:rsid w:val="00DB1FAD"/>
    <w:rsid w:val="00DB3610"/>
    <w:rsid w:val="00DB3A0B"/>
    <w:rsid w:val="00DB5115"/>
    <w:rsid w:val="00DC36B0"/>
    <w:rsid w:val="00DC542F"/>
    <w:rsid w:val="00DC67DD"/>
    <w:rsid w:val="00DC7981"/>
    <w:rsid w:val="00DD3794"/>
    <w:rsid w:val="00DE0E58"/>
    <w:rsid w:val="00DE1A1E"/>
    <w:rsid w:val="00DE26D4"/>
    <w:rsid w:val="00DE276F"/>
    <w:rsid w:val="00DE2865"/>
    <w:rsid w:val="00DE43F4"/>
    <w:rsid w:val="00DE45E0"/>
    <w:rsid w:val="00DE4EFA"/>
    <w:rsid w:val="00DE5520"/>
    <w:rsid w:val="00DE6A39"/>
    <w:rsid w:val="00DE6E2E"/>
    <w:rsid w:val="00DF4CCD"/>
    <w:rsid w:val="00DF6D07"/>
    <w:rsid w:val="00DF6F75"/>
    <w:rsid w:val="00DF7833"/>
    <w:rsid w:val="00E002F9"/>
    <w:rsid w:val="00E02E6B"/>
    <w:rsid w:val="00E04818"/>
    <w:rsid w:val="00E04B4D"/>
    <w:rsid w:val="00E0528A"/>
    <w:rsid w:val="00E05902"/>
    <w:rsid w:val="00E06442"/>
    <w:rsid w:val="00E07D65"/>
    <w:rsid w:val="00E148DF"/>
    <w:rsid w:val="00E16DAE"/>
    <w:rsid w:val="00E172D9"/>
    <w:rsid w:val="00E17E38"/>
    <w:rsid w:val="00E21A5D"/>
    <w:rsid w:val="00E21B46"/>
    <w:rsid w:val="00E23993"/>
    <w:rsid w:val="00E25B8C"/>
    <w:rsid w:val="00E265CE"/>
    <w:rsid w:val="00E307DA"/>
    <w:rsid w:val="00E32BD9"/>
    <w:rsid w:val="00E459B9"/>
    <w:rsid w:val="00E45A52"/>
    <w:rsid w:val="00E45EBD"/>
    <w:rsid w:val="00E4674F"/>
    <w:rsid w:val="00E4776A"/>
    <w:rsid w:val="00E510D9"/>
    <w:rsid w:val="00E54793"/>
    <w:rsid w:val="00E551D7"/>
    <w:rsid w:val="00E56999"/>
    <w:rsid w:val="00E579FE"/>
    <w:rsid w:val="00E635FA"/>
    <w:rsid w:val="00E63639"/>
    <w:rsid w:val="00E65C85"/>
    <w:rsid w:val="00E66199"/>
    <w:rsid w:val="00E72879"/>
    <w:rsid w:val="00E73670"/>
    <w:rsid w:val="00E755EC"/>
    <w:rsid w:val="00E7624D"/>
    <w:rsid w:val="00E77E0B"/>
    <w:rsid w:val="00E823F6"/>
    <w:rsid w:val="00E8477B"/>
    <w:rsid w:val="00E87A15"/>
    <w:rsid w:val="00E9224B"/>
    <w:rsid w:val="00E934A9"/>
    <w:rsid w:val="00E963C3"/>
    <w:rsid w:val="00E96FD5"/>
    <w:rsid w:val="00E97C79"/>
    <w:rsid w:val="00EA0977"/>
    <w:rsid w:val="00EA109C"/>
    <w:rsid w:val="00EA1323"/>
    <w:rsid w:val="00EA3D42"/>
    <w:rsid w:val="00EA4776"/>
    <w:rsid w:val="00EA573F"/>
    <w:rsid w:val="00EA6B1B"/>
    <w:rsid w:val="00EA72E4"/>
    <w:rsid w:val="00EB3684"/>
    <w:rsid w:val="00EB3EAC"/>
    <w:rsid w:val="00EB4E77"/>
    <w:rsid w:val="00EB6AEA"/>
    <w:rsid w:val="00EC0053"/>
    <w:rsid w:val="00EC567C"/>
    <w:rsid w:val="00ED0E65"/>
    <w:rsid w:val="00ED30C3"/>
    <w:rsid w:val="00ED33A5"/>
    <w:rsid w:val="00ED47C2"/>
    <w:rsid w:val="00ED5821"/>
    <w:rsid w:val="00ED676C"/>
    <w:rsid w:val="00ED72A3"/>
    <w:rsid w:val="00ED78CE"/>
    <w:rsid w:val="00EE14C7"/>
    <w:rsid w:val="00EE28F3"/>
    <w:rsid w:val="00EE502C"/>
    <w:rsid w:val="00EE566B"/>
    <w:rsid w:val="00EE5CD8"/>
    <w:rsid w:val="00EE7898"/>
    <w:rsid w:val="00EF12A7"/>
    <w:rsid w:val="00EF2008"/>
    <w:rsid w:val="00EF2AC4"/>
    <w:rsid w:val="00EF5110"/>
    <w:rsid w:val="00EF559D"/>
    <w:rsid w:val="00EF5703"/>
    <w:rsid w:val="00EF5DC4"/>
    <w:rsid w:val="00EF5FAB"/>
    <w:rsid w:val="00EF6310"/>
    <w:rsid w:val="00EF7256"/>
    <w:rsid w:val="00EF744D"/>
    <w:rsid w:val="00EF7C68"/>
    <w:rsid w:val="00F00696"/>
    <w:rsid w:val="00F025A9"/>
    <w:rsid w:val="00F03E8D"/>
    <w:rsid w:val="00F049A9"/>
    <w:rsid w:val="00F07A1E"/>
    <w:rsid w:val="00F07BD6"/>
    <w:rsid w:val="00F11C6A"/>
    <w:rsid w:val="00F11FD1"/>
    <w:rsid w:val="00F14B1B"/>
    <w:rsid w:val="00F15882"/>
    <w:rsid w:val="00F17D91"/>
    <w:rsid w:val="00F20BD3"/>
    <w:rsid w:val="00F227B8"/>
    <w:rsid w:val="00F34A63"/>
    <w:rsid w:val="00F3509F"/>
    <w:rsid w:val="00F35A66"/>
    <w:rsid w:val="00F36AB1"/>
    <w:rsid w:val="00F373A5"/>
    <w:rsid w:val="00F41934"/>
    <w:rsid w:val="00F43563"/>
    <w:rsid w:val="00F443A7"/>
    <w:rsid w:val="00F47531"/>
    <w:rsid w:val="00F47559"/>
    <w:rsid w:val="00F51B7A"/>
    <w:rsid w:val="00F52E5E"/>
    <w:rsid w:val="00F56737"/>
    <w:rsid w:val="00F60BE4"/>
    <w:rsid w:val="00F61B84"/>
    <w:rsid w:val="00F6221D"/>
    <w:rsid w:val="00F62762"/>
    <w:rsid w:val="00F64C7B"/>
    <w:rsid w:val="00F65092"/>
    <w:rsid w:val="00F65E81"/>
    <w:rsid w:val="00F6647B"/>
    <w:rsid w:val="00F66BC7"/>
    <w:rsid w:val="00F676DD"/>
    <w:rsid w:val="00F72EEA"/>
    <w:rsid w:val="00F74F3F"/>
    <w:rsid w:val="00F75A26"/>
    <w:rsid w:val="00F80AB3"/>
    <w:rsid w:val="00F816CE"/>
    <w:rsid w:val="00F81C44"/>
    <w:rsid w:val="00F8305C"/>
    <w:rsid w:val="00F83FAD"/>
    <w:rsid w:val="00F90601"/>
    <w:rsid w:val="00F914E2"/>
    <w:rsid w:val="00F9168E"/>
    <w:rsid w:val="00F91D04"/>
    <w:rsid w:val="00F91DC6"/>
    <w:rsid w:val="00F92F4A"/>
    <w:rsid w:val="00F9470A"/>
    <w:rsid w:val="00F948E3"/>
    <w:rsid w:val="00F95258"/>
    <w:rsid w:val="00F952A0"/>
    <w:rsid w:val="00F97F07"/>
    <w:rsid w:val="00FA1244"/>
    <w:rsid w:val="00FA160D"/>
    <w:rsid w:val="00FA214E"/>
    <w:rsid w:val="00FA2F90"/>
    <w:rsid w:val="00FA3C7F"/>
    <w:rsid w:val="00FA7766"/>
    <w:rsid w:val="00FB0343"/>
    <w:rsid w:val="00FB1227"/>
    <w:rsid w:val="00FB377C"/>
    <w:rsid w:val="00FB3FEC"/>
    <w:rsid w:val="00FB52D7"/>
    <w:rsid w:val="00FB5E1E"/>
    <w:rsid w:val="00FB74C7"/>
    <w:rsid w:val="00FB74E2"/>
    <w:rsid w:val="00FC0FD4"/>
    <w:rsid w:val="00FC2DE4"/>
    <w:rsid w:val="00FC4F86"/>
    <w:rsid w:val="00FD0125"/>
    <w:rsid w:val="00FD4D1D"/>
    <w:rsid w:val="00FD54AC"/>
    <w:rsid w:val="00FD5614"/>
    <w:rsid w:val="00FD5FA6"/>
    <w:rsid w:val="00FD7197"/>
    <w:rsid w:val="00FE0BE1"/>
    <w:rsid w:val="00FE0CD2"/>
    <w:rsid w:val="00FE14AF"/>
    <w:rsid w:val="00FE1DE9"/>
    <w:rsid w:val="00FE1EEF"/>
    <w:rsid w:val="00FE20B9"/>
    <w:rsid w:val="00FE2704"/>
    <w:rsid w:val="00FE333C"/>
    <w:rsid w:val="00FE39C2"/>
    <w:rsid w:val="00FE4712"/>
    <w:rsid w:val="00FE64AE"/>
    <w:rsid w:val="00FF01AB"/>
    <w:rsid w:val="00FF0336"/>
    <w:rsid w:val="00FF0E78"/>
    <w:rsid w:val="00FF1D7A"/>
    <w:rsid w:val="00FF2BA9"/>
    <w:rsid w:val="00FF633B"/>
    <w:rsid w:val="00FF6887"/>
    <w:rsid w:val="00FF75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BE257B"/>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3"/>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qFormat/>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CF3FFC"/>
    <w:pPr>
      <w:keepNext/>
      <w:pageBreakBefore/>
      <w:numPr>
        <w:numId w:val="30"/>
      </w:numPr>
      <w:ind w:left="680" w:hanging="680"/>
    </w:pPr>
    <w:rPr>
      <w:sz w:val="40"/>
    </w:rPr>
  </w:style>
  <w:style w:type="paragraph" w:customStyle="1" w:styleId="Numbered11">
    <w:name w:val="Numbered 1.1"/>
    <w:basedOn w:val="Heading2"/>
    <w:next w:val="Normal"/>
    <w:qFormat/>
    <w:rsid w:val="00CF3FFC"/>
    <w:pPr>
      <w:keepNext/>
      <w:numPr>
        <w:ilvl w:val="1"/>
        <w:numId w:val="30"/>
      </w:numPr>
      <w:ind w:left="680" w:hanging="680"/>
    </w:pPr>
    <w:rPr>
      <w:rFonts w:cs="Arial"/>
    </w:rPr>
  </w:style>
  <w:style w:type="paragraph" w:customStyle="1" w:styleId="Numbered111">
    <w:name w:val="Numbered 1.1.1"/>
    <w:basedOn w:val="Heading3"/>
    <w:next w:val="Normal"/>
    <w:qFormat/>
    <w:rsid w:val="00736EBA"/>
    <w:pPr>
      <w:keepNext/>
      <w:numPr>
        <w:ilvl w:val="2"/>
        <w:numId w:val="30"/>
      </w:numPr>
      <w:ind w:left="720"/>
      <w:contextualSpacing/>
    </w:pPr>
  </w:style>
  <w:style w:type="paragraph" w:customStyle="1" w:styleId="Numbered1111">
    <w:name w:val="Numbered 1.1.1.1"/>
    <w:basedOn w:val="Heading4"/>
    <w:next w:val="Normal"/>
    <w:rsid w:val="00F61B84"/>
    <w:pPr>
      <w:tabs>
        <w:tab w:val="left" w:pos="1361"/>
      </w:tabs>
    </w:pPr>
  </w:style>
  <w:style w:type="paragraph" w:customStyle="1" w:styleId="Numbered11111">
    <w:name w:val="Numbered 1.1.1.1.1"/>
    <w:basedOn w:val="Heading5"/>
    <w:next w:val="Normal"/>
    <w:uiPriority w:val="2"/>
    <w:rsid w:val="00F61B84"/>
    <w:pPr>
      <w:tabs>
        <w:tab w:val="left" w:pos="1701"/>
      </w:tabs>
    </w:pPr>
  </w:style>
  <w:style w:type="paragraph" w:customStyle="1" w:styleId="Numbered111111">
    <w:name w:val="Numbered 1.1.1.1.1.1"/>
    <w:basedOn w:val="Heading6"/>
    <w:next w:val="Normal"/>
    <w:uiPriority w:val="2"/>
    <w:rsid w:val="00F61B84"/>
    <w:pPr>
      <w:tabs>
        <w:tab w:val="left" w:pos="1701"/>
      </w:tabs>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DefaultParagraphFont"/>
    <w:link w:val="Pullquotetext"/>
    <w:uiPriority w:val="1"/>
    <w:rsid w:val="00565DE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Normal"/>
    <w:link w:val="FootnotesChar"/>
    <w:uiPriority w:val="4"/>
    <w:semiHidden/>
    <w:qFormat/>
    <w:rsid w:val="007654DA"/>
    <w:pPr>
      <w:tabs>
        <w:tab w:val="left" w:pos="340"/>
      </w:tabs>
      <w:spacing w:before="60"/>
      <w:ind w:left="340" w:hanging="340"/>
    </w:pPr>
    <w:rPr>
      <w:sz w:val="16"/>
      <w:szCs w:val="20"/>
    </w:rPr>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uiPriority w:val="99"/>
    <w:qFormat/>
    <w:rsid w:val="00DA47C0"/>
    <w:pPr>
      <w:numPr>
        <w:numId w:val="39"/>
      </w:numPr>
      <w:ind w:left="340" w:hanging="340"/>
    </w:pPr>
    <w:rPr>
      <w:rFonts w:cs="Times New Roman"/>
    </w:rPr>
  </w:style>
  <w:style w:type="paragraph" w:styleId="ListBullet">
    <w:name w:val="List Bullet"/>
    <w:basedOn w:val="Normal"/>
    <w:uiPriority w:val="99"/>
    <w:rsid w:val="00DC542F"/>
    <w:pPr>
      <w:numPr>
        <w:numId w:val="9"/>
      </w:numPr>
      <w:tabs>
        <w:tab w:val="left" w:pos="340"/>
      </w:tabs>
      <w:spacing w:before="120"/>
      <w:ind w:left="340" w:hanging="340"/>
    </w:pPr>
  </w:style>
  <w:style w:type="paragraph" w:customStyle="1" w:styleId="Bulletpoint2">
    <w:name w:val="Bullet point 2"/>
    <w:basedOn w:val="ListBullet2"/>
    <w:uiPriority w:val="1"/>
    <w:qFormat/>
    <w:rsid w:val="00A92837"/>
    <w:pPr>
      <w:numPr>
        <w:numId w:val="8"/>
      </w:numPr>
      <w:tabs>
        <w:tab w:val="left" w:pos="680"/>
      </w:tabs>
      <w:ind w:left="680" w:hanging="340"/>
    </w:pPr>
  </w:style>
  <w:style w:type="paragraph" w:styleId="ListNumber">
    <w:name w:val="List Number"/>
    <w:basedOn w:val="Normal"/>
    <w:uiPriority w:val="99"/>
    <w:rsid w:val="000F2368"/>
    <w:pPr>
      <w:numPr>
        <w:numId w:val="20"/>
      </w:numPr>
      <w:spacing w:before="120"/>
    </w:pPr>
    <w:rPr>
      <w:color w:val="000000" w:themeColor="text1" w:themeShade="BF"/>
    </w:rPr>
  </w:style>
  <w:style w:type="paragraph" w:styleId="ListBullet2">
    <w:name w:val="List Bullet 2"/>
    <w:basedOn w:val="Normal"/>
    <w:uiPriority w:val="99"/>
    <w:rsid w:val="00DC542F"/>
    <w:pPr>
      <w:numPr>
        <w:numId w:val="2"/>
      </w:numPr>
      <w:tabs>
        <w:tab w:val="clear" w:pos="643"/>
        <w:tab w:val="num" w:pos="680"/>
      </w:tabs>
      <w:spacing w:before="120"/>
      <w:ind w:left="680" w:hanging="340"/>
    </w:pPr>
  </w:style>
  <w:style w:type="paragraph" w:styleId="TOCHeading">
    <w:name w:val="TOC Heading"/>
    <w:aliases w:val="NCC 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1"/>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tabs>
        <w:tab w:val="left" w:pos="2041"/>
      </w:tabs>
    </w:pPr>
  </w:style>
  <w:style w:type="paragraph" w:customStyle="1" w:styleId="Numbered11111111">
    <w:name w:val="Numbered 1.1.1.1.1.1.1.1"/>
    <w:basedOn w:val="Heading8"/>
    <w:next w:val="Normal"/>
    <w:uiPriority w:val="2"/>
    <w:rsid w:val="00F61B84"/>
    <w:pPr>
      <w:tabs>
        <w:tab w:val="left" w:pos="2041"/>
      </w:tabs>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qFormat/>
    <w:rsid w:val="00E4674F"/>
    <w:rPr>
      <w:rFonts w:ascii="Lucida Fax" w:hAnsi="Lucida Fax"/>
      <w:color w:val="DC5034"/>
      <w:sz w:val="24"/>
      <w:szCs w:val="24"/>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99"/>
    <w:qFormat/>
    <w:rsid w:val="00701CAB"/>
    <w:rPr>
      <w:i/>
      <w:iCs/>
    </w:rPr>
  </w:style>
  <w:style w:type="paragraph" w:styleId="NormalIndent">
    <w:name w:val="Normal Indent"/>
    <w:basedOn w:val="Normal"/>
    <w:uiPriority w:val="1"/>
    <w:rsid w:val="00085663"/>
    <w:pPr>
      <w:ind w:left="720"/>
    </w:pPr>
  </w:style>
  <w:style w:type="paragraph" w:customStyle="1" w:styleId="Footnote">
    <w:name w:val="Footnote"/>
    <w:basedOn w:val="FootnoteText"/>
    <w:link w:val="FootnoteChar"/>
    <w:qFormat/>
    <w:rsid w:val="006F3A4C"/>
    <w:rPr>
      <w:rFonts w:asciiTheme="minorHAnsi" w:hAnsiTheme="minorHAnsi" w:cstheme="minorHAnsi"/>
    </w:rPr>
  </w:style>
  <w:style w:type="paragraph" w:styleId="FootnoteText">
    <w:name w:val="footnote text"/>
    <w:basedOn w:val="Normal"/>
    <w:link w:val="FootnoteTextChar"/>
    <w:uiPriority w:val="2"/>
    <w:qFormat/>
    <w:rsid w:val="006F3A4C"/>
    <w:pPr>
      <w:tabs>
        <w:tab w:val="left" w:pos="340"/>
      </w:tabs>
      <w:spacing w:before="60"/>
      <w:ind w:left="340" w:hanging="340"/>
    </w:pPr>
    <w:rPr>
      <w:sz w:val="16"/>
      <w:szCs w:val="20"/>
    </w:rPr>
  </w:style>
  <w:style w:type="character" w:styleId="FootnoteReference">
    <w:name w:val="footnote reference"/>
    <w:aliases w:val="(NECG) Footnote Reference"/>
    <w:basedOn w:val="DefaultParagraphFont"/>
    <w:uiPriority w:val="99"/>
    <w:unhideWhenUsed/>
    <w:qFormat/>
    <w:rsid w:val="00701CAB"/>
    <w:rPr>
      <w:vertAlign w:val="superscript"/>
    </w:rPr>
  </w:style>
  <w:style w:type="character" w:styleId="Strong">
    <w:name w:val="Strong"/>
    <w:basedOn w:val="DefaultParagraphFont"/>
    <w:uiPriority w:val="99"/>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numId w:val="0"/>
      </w:numPr>
      <w:tabs>
        <w:tab w:val="left" w:pos="2381"/>
      </w:tabs>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3"/>
      </w:numPr>
      <w:tabs>
        <w:tab w:val="clear" w:pos="926"/>
        <w:tab w:val="num" w:pos="1021"/>
      </w:tabs>
      <w:spacing w:before="120"/>
      <w:ind w:left="1020" w:hanging="340"/>
    </w:pPr>
  </w:style>
  <w:style w:type="paragraph" w:styleId="ListBullet4">
    <w:name w:val="List Bullet 4"/>
    <w:basedOn w:val="Normal"/>
    <w:uiPriority w:val="99"/>
    <w:rsid w:val="00547CCF"/>
    <w:pPr>
      <w:numPr>
        <w:numId w:val="4"/>
      </w:numPr>
      <w:tabs>
        <w:tab w:val="clear" w:pos="1209"/>
        <w:tab w:val="num" w:pos="1361"/>
      </w:tabs>
      <w:spacing w:before="120"/>
      <w:ind w:left="1361" w:hanging="340"/>
    </w:pPr>
  </w:style>
  <w:style w:type="paragraph" w:styleId="ListBullet5">
    <w:name w:val="List Bullet 5"/>
    <w:basedOn w:val="Normal"/>
    <w:uiPriority w:val="99"/>
    <w:rsid w:val="00547CCF"/>
    <w:pPr>
      <w:numPr>
        <w:numId w:val="5"/>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1"/>
      </w:numPr>
      <w:tabs>
        <w:tab w:val="left" w:pos="1021"/>
      </w:tabs>
      <w:spacing w:before="120"/>
    </w:pPr>
  </w:style>
  <w:style w:type="paragraph" w:styleId="ListNumber4">
    <w:name w:val="List Number 4"/>
    <w:basedOn w:val="Normal"/>
    <w:uiPriority w:val="99"/>
    <w:rsid w:val="00BE4C99"/>
    <w:pPr>
      <w:numPr>
        <w:numId w:val="6"/>
      </w:numPr>
      <w:tabs>
        <w:tab w:val="left" w:pos="1701"/>
      </w:tabs>
      <w:spacing w:before="120"/>
    </w:pPr>
  </w:style>
  <w:style w:type="paragraph" w:styleId="ListNumber5">
    <w:name w:val="List Number 5"/>
    <w:basedOn w:val="Normal"/>
    <w:uiPriority w:val="99"/>
    <w:rsid w:val="00BE4C99"/>
    <w:pPr>
      <w:numPr>
        <w:numId w:val="7"/>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uiPriority w:val="99"/>
    <w:rsid w:val="00063247"/>
    <w:pPr>
      <w:jc w:val="right"/>
    </w:pPr>
    <w:rPr>
      <w:rFonts w:eastAsia="Times New Roman" w:cs="Times New Roman"/>
      <w:szCs w:val="20"/>
    </w:rPr>
  </w:style>
  <w:style w:type="paragraph" w:customStyle="1" w:styleId="Tabletext-centred">
    <w:name w:val="Table text - centred"/>
    <w:basedOn w:val="Tabletext-right"/>
    <w:link w:val="Tabletext-centredChar"/>
    <w:uiPriority w:val="99"/>
    <w:rsid w:val="00063247"/>
    <w:pPr>
      <w:jc w:val="center"/>
    </w:pPr>
  </w:style>
  <w:style w:type="paragraph" w:customStyle="1" w:styleId="TableHeading-right">
    <w:name w:val="Table Heading - right"/>
    <w:basedOn w:val="Normal"/>
    <w:link w:val="TableHeading-rightChar"/>
    <w:rsid w:val="00D64AF7"/>
    <w:pPr>
      <w:tabs>
        <w:tab w:val="left" w:pos="680"/>
      </w:tabs>
      <w:spacing w:before="240"/>
      <w:ind w:left="680" w:hanging="680"/>
      <w:jc w:val="right"/>
      <w:outlineLvl w:val="0"/>
    </w:pPr>
    <w:rPr>
      <w:rFonts w:ascii="Lucida Fax" w:eastAsia="Times New Roman" w:hAnsi="Lucida Fax" w:cs="Times New Roman"/>
      <w:color w:val="51626F"/>
      <w:sz w:val="32"/>
      <w:szCs w:val="20"/>
    </w:rPr>
  </w:style>
  <w:style w:type="character" w:customStyle="1" w:styleId="Tabletext-rightChar">
    <w:name w:val="Table text - right Char"/>
    <w:basedOn w:val="TabletextChar"/>
    <w:link w:val="Tabletext-right"/>
    <w:uiPriority w:val="99"/>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rightChar">
    <w:name w:val="Table Heading - right Char"/>
    <w:basedOn w:val="DefaultParagraphFont"/>
    <w:link w:val="TableHeading-right"/>
    <w:rsid w:val="00D64AF7"/>
    <w:rPr>
      <w:rFonts w:ascii="Lucida Fax" w:eastAsia="Times New Roman" w:hAnsi="Lucida Fax" w:cs="Times New Roman"/>
      <w:color w:val="51626F"/>
      <w:sz w:val="32"/>
      <w:szCs w:val="20"/>
    </w:rPr>
  </w:style>
  <w:style w:type="character" w:customStyle="1" w:styleId="Tabletext-centredChar">
    <w:name w:val="Table text - centred Char"/>
    <w:basedOn w:val="Tabletext-rightChar"/>
    <w:link w:val="Tabletext-centred"/>
    <w:uiPriority w:val="99"/>
    <w:rsid w:val="00063247"/>
    <w:rPr>
      <w:rFonts w:ascii="Arial" w:eastAsia="Times New Roman" w:hAnsi="Arial" w:cs="Times New Roman"/>
      <w:sz w:val="20"/>
      <w:szCs w:val="20"/>
    </w:rPr>
  </w:style>
  <w:style w:type="paragraph" w:customStyle="1" w:styleId="TableHeading-centred">
    <w:name w:val="Table Heading - centred"/>
    <w:basedOn w:val="Normal"/>
    <w:rsid w:val="00D64AF7"/>
    <w:pPr>
      <w:tabs>
        <w:tab w:val="left" w:pos="680"/>
      </w:tabs>
      <w:spacing w:before="240"/>
      <w:ind w:left="680" w:hanging="680"/>
      <w:jc w:val="center"/>
      <w:outlineLvl w:val="0"/>
    </w:pPr>
    <w:rPr>
      <w:rFonts w:ascii="Lucida Fax" w:eastAsia="Times New Roman" w:hAnsi="Lucida Fax" w:cs="Times New Roman"/>
      <w:color w:val="51626F"/>
      <w:sz w:val="32"/>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outlineLvl w:val="9"/>
    </w:pPr>
    <w:rPr>
      <w:b w:val="0"/>
      <w:bCs w:val="0"/>
      <w:color w:val="auto"/>
      <w:sz w:val="22"/>
    </w:rPr>
  </w:style>
  <w:style w:type="character" w:customStyle="1" w:styleId="Numbered1Char">
    <w:name w:val="Numbered 1 Char"/>
    <w:basedOn w:val="Heading1Char"/>
    <w:link w:val="Numbered1"/>
    <w:rsid w:val="00CF3FFC"/>
    <w:rPr>
      <w:rFonts w:ascii="Lucida Fax" w:eastAsiaTheme="majorEastAsia" w:hAnsi="Lucida Fax" w:cstheme="majorBidi"/>
      <w:bCs/>
      <w:color w:val="51626F"/>
      <w:sz w:val="40"/>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0"/>
      </w:numPr>
      <w:tabs>
        <w:tab w:val="left" w:pos="680"/>
      </w:tabs>
      <w:spacing w:before="120"/>
    </w:pPr>
    <w:rPr>
      <w:rFonts w:ascii="Arial" w:hAnsi="Arial"/>
    </w:rPr>
  </w:style>
  <w:style w:type="paragraph" w:customStyle="1" w:styleId="Listalphabet3">
    <w:name w:val="List alphabet 3"/>
    <w:rsid w:val="00CF799E"/>
    <w:pPr>
      <w:numPr>
        <w:numId w:val="16"/>
      </w:numPr>
      <w:tabs>
        <w:tab w:val="left" w:pos="1021"/>
      </w:tabs>
      <w:spacing w:before="120"/>
    </w:pPr>
    <w:rPr>
      <w:rFonts w:ascii="Arial" w:hAnsi="Arial"/>
    </w:rPr>
  </w:style>
  <w:style w:type="paragraph" w:customStyle="1" w:styleId="Listalphabet4">
    <w:name w:val="List alphabet 4"/>
    <w:rsid w:val="00CF799E"/>
    <w:pPr>
      <w:numPr>
        <w:numId w:val="17"/>
      </w:numPr>
      <w:tabs>
        <w:tab w:val="left" w:pos="1361"/>
      </w:tabs>
      <w:spacing w:before="120"/>
    </w:pPr>
    <w:rPr>
      <w:rFonts w:ascii="Arial" w:hAnsi="Arial"/>
    </w:rPr>
  </w:style>
  <w:style w:type="paragraph" w:customStyle="1" w:styleId="Listalphabet5">
    <w:name w:val="List alphabet 5"/>
    <w:rsid w:val="00CF799E"/>
    <w:pPr>
      <w:numPr>
        <w:numId w:val="18"/>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19"/>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6708B5"/>
    <w:pPr>
      <w:numPr>
        <w:numId w:val="24"/>
      </w:numPr>
      <w:tabs>
        <w:tab w:val="clear" w:pos="340"/>
        <w:tab w:val="left" w:pos="680"/>
      </w:tabs>
    </w:pPr>
  </w:style>
  <w:style w:type="paragraph" w:customStyle="1" w:styleId="ListLegal2">
    <w:name w:val="List Legal 2"/>
    <w:basedOn w:val="ListLegal"/>
    <w:rsid w:val="00C06739"/>
    <w:pPr>
      <w:numPr>
        <w:numId w:val="13"/>
      </w:numPr>
      <w:tabs>
        <w:tab w:val="clear" w:pos="680"/>
        <w:tab w:val="left" w:pos="1021"/>
      </w:tabs>
    </w:pPr>
  </w:style>
  <w:style w:type="paragraph" w:customStyle="1" w:styleId="ListLegal3">
    <w:name w:val="List Legal 3"/>
    <w:basedOn w:val="ListNumber3"/>
    <w:rsid w:val="00CF799E"/>
    <w:pPr>
      <w:numPr>
        <w:numId w:val="12"/>
      </w:numPr>
      <w:tabs>
        <w:tab w:val="clear" w:pos="1021"/>
        <w:tab w:val="left" w:pos="1361"/>
      </w:tabs>
    </w:pPr>
  </w:style>
  <w:style w:type="paragraph" w:customStyle="1" w:styleId="ListLegal4">
    <w:name w:val="List Legal 4"/>
    <w:basedOn w:val="ListLegal3"/>
    <w:rsid w:val="00CF799E"/>
    <w:pPr>
      <w:numPr>
        <w:numId w:val="14"/>
      </w:numPr>
      <w:tabs>
        <w:tab w:val="clear" w:pos="1361"/>
        <w:tab w:val="left" w:pos="1701"/>
      </w:tabs>
    </w:pPr>
  </w:style>
  <w:style w:type="paragraph" w:customStyle="1" w:styleId="ListLegal5">
    <w:name w:val="List Legal 5"/>
    <w:basedOn w:val="ListLegal4"/>
    <w:rsid w:val="000F2368"/>
    <w:pPr>
      <w:numPr>
        <w:numId w:val="22"/>
      </w:numPr>
      <w:tabs>
        <w:tab w:val="clear" w:pos="1701"/>
        <w:tab w:val="left" w:pos="2041"/>
      </w:tabs>
    </w:pPr>
  </w:style>
  <w:style w:type="paragraph" w:customStyle="1" w:styleId="LegalNumbering">
    <w:name w:val="Legal Numbering"/>
    <w:basedOn w:val="Normal"/>
    <w:qFormat/>
    <w:rsid w:val="0002115F"/>
    <w:pPr>
      <w:numPr>
        <w:numId w:val="15"/>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687F39"/>
    <w:pPr>
      <w:spacing w:before="120" w:after="120"/>
    </w:pPr>
    <w:rPr>
      <w:color w:val="000000" w:themeColor="text1" w:themeShade="BF"/>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numbering" w:customStyle="1" w:styleId="Copyrightbullet">
    <w:name w:val="Copyright bullet"/>
    <w:basedOn w:val="NoList"/>
    <w:rsid w:val="00A54873"/>
    <w:pPr>
      <w:numPr>
        <w:numId w:val="25"/>
      </w:numPr>
    </w:pPr>
  </w:style>
  <w:style w:type="paragraph" w:customStyle="1" w:styleId="TOCHeading1">
    <w:name w:val="TOC Heading1"/>
    <w:basedOn w:val="Normal"/>
    <w:next w:val="Normal"/>
    <w:uiPriority w:val="39"/>
    <w:qFormat/>
    <w:rsid w:val="00DC36B0"/>
    <w:pPr>
      <w:spacing w:before="480" w:after="120" w:line="276" w:lineRule="auto"/>
    </w:pPr>
    <w:rPr>
      <w:rFonts w:ascii="Lucida Fax" w:eastAsia="Times New Roman" w:hAnsi="Lucida Fax" w:cs="Times New Roman"/>
      <w:bCs/>
      <w:color w:val="51626F"/>
      <w:sz w:val="32"/>
      <w:szCs w:val="28"/>
      <w:lang w:val="en-US" w:eastAsia="ja-JP"/>
    </w:rPr>
  </w:style>
  <w:style w:type="table" w:styleId="MediumGrid3">
    <w:name w:val="Medium Grid 3"/>
    <w:basedOn w:val="TableNormal"/>
    <w:uiPriority w:val="60"/>
    <w:rsid w:val="00DC36B0"/>
    <w:pPr>
      <w:spacing w:before="120" w:after="120"/>
    </w:pPr>
    <w:rPr>
      <w:rFonts w:ascii="Arial" w:eastAsia="Arial" w:hAnsi="Arial" w:cs="Times New Roman"/>
      <w:sz w:val="20"/>
      <w:szCs w:val="20"/>
      <w:lang w:eastAsia="en-AU"/>
    </w:rPr>
    <w:tblPr>
      <w:tblInd w:w="0" w:type="dxa"/>
      <w:tblBorders>
        <w:top w:val="single" w:sz="4" w:space="0" w:color="D5D6D2"/>
        <w:left w:val="single" w:sz="4" w:space="0" w:color="D5D6D2"/>
        <w:bottom w:val="single" w:sz="4" w:space="0" w:color="D5D6D2"/>
        <w:right w:val="single" w:sz="4" w:space="0" w:color="D5D6D2"/>
        <w:insideH w:val="single" w:sz="4" w:space="0" w:color="D5D6D2"/>
        <w:insideV w:val="single" w:sz="4" w:space="0" w:color="D5D6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Arial" w:hAnsi="Arial"/>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tcPr>
    </w:tblStylePr>
    <w:tblStylePr w:type="firstCol">
      <w:rPr>
        <w:b/>
        <w:bCs/>
        <w:sz w:val="20"/>
      </w:rPr>
    </w:tblStylePr>
    <w:tblStylePr w:type="lastCol">
      <w:rPr>
        <w:b/>
        <w:bCs/>
      </w:rPr>
    </w:tblStylePr>
  </w:style>
  <w:style w:type="table" w:customStyle="1" w:styleId="IntenseQuote1">
    <w:name w:val="Intense Quote1"/>
    <w:basedOn w:val="TableNormal"/>
    <w:uiPriority w:val="60"/>
    <w:qFormat/>
    <w:rsid w:val="00DC36B0"/>
    <w:pPr>
      <w:spacing w:before="0"/>
    </w:pPr>
    <w:rPr>
      <w:rFonts w:ascii="Arial" w:eastAsia="Arial" w:hAnsi="Arial" w:cs="Times New Roman"/>
      <w:color w:val="3C4953"/>
      <w:sz w:val="20"/>
      <w:szCs w:val="20"/>
      <w:lang w:eastAsia="en-AU"/>
    </w:rPr>
    <w:tblPr>
      <w:tblStyleRowBandSize w:val="1"/>
      <w:tblStyleColBandSize w:val="1"/>
      <w:tblInd w:w="0" w:type="dxa"/>
      <w:tblBorders>
        <w:top w:val="single" w:sz="8" w:space="0" w:color="51626F"/>
        <w:bottom w:val="single" w:sz="8" w:space="0" w:color="51626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la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cPr>
    </w:tblStylePr>
    <w:tblStylePr w:type="band1Horz">
      <w:tblPr/>
      <w:tcPr>
        <w:tcBorders>
          <w:left w:val="nil"/>
          <w:right w:val="nil"/>
          <w:insideH w:val="nil"/>
          <w:insideV w:val="nil"/>
        </w:tcBorders>
        <w:shd w:val="clear" w:color="auto" w:fill="D1D8DD"/>
      </w:tcPr>
    </w:tblStylePr>
  </w:style>
  <w:style w:type="table" w:styleId="MediumGrid3-Accent2">
    <w:name w:val="Medium Grid 3 Accent 2"/>
    <w:basedOn w:val="TableNormal"/>
    <w:uiPriority w:val="60"/>
    <w:rsid w:val="00DC36B0"/>
    <w:pPr>
      <w:spacing w:before="0"/>
    </w:pPr>
    <w:rPr>
      <w:rFonts w:ascii="Arial" w:eastAsia="Arial" w:hAnsi="Arial" w:cs="Times New Roman"/>
      <w:color w:val="000000"/>
      <w:sz w:val="20"/>
      <w:szCs w:val="20"/>
      <w:lang w:eastAsia="en-AU"/>
    </w:rPr>
    <w:tblPr>
      <w:tblInd w:w="0" w:type="dxa"/>
      <w:tblBorders>
        <w:top w:val="single" w:sz="4" w:space="0" w:color="B71202"/>
        <w:left w:val="single" w:sz="4" w:space="0" w:color="B71202"/>
        <w:bottom w:val="single" w:sz="4" w:space="0" w:color="B71202"/>
        <w:right w:val="single" w:sz="4" w:space="0" w:color="B71202"/>
        <w:insideH w:val="single" w:sz="4" w:space="0" w:color="B71202"/>
        <w:insideV w:val="single" w:sz="4" w:space="0" w:color="B71202"/>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l2br w:val="nil"/>
          <w:tr2bl w:val="nil"/>
        </w:tcBorders>
      </w:tcPr>
    </w:tblStylePr>
    <w:tblStylePr w:type="la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cBorders>
      </w:tcPr>
    </w:tblStylePr>
    <w:tblStylePr w:type="firstCol">
      <w:rPr>
        <w:b w:val="0"/>
        <w:bCs/>
      </w:rPr>
    </w:tblStylePr>
    <w:tblStylePr w:type="lastCol">
      <w:rPr>
        <w:b w:val="0"/>
        <w:bCs/>
      </w:rPr>
    </w:tblStylePr>
  </w:style>
  <w:style w:type="table" w:styleId="MediumGrid3-Accent3">
    <w:name w:val="Medium Grid 3 Accent 3"/>
    <w:basedOn w:val="TableNormal"/>
    <w:uiPriority w:val="60"/>
    <w:rsid w:val="00DC36B0"/>
    <w:pPr>
      <w:spacing w:before="0"/>
    </w:pPr>
    <w:rPr>
      <w:rFonts w:ascii="Arial" w:eastAsia="Arial" w:hAnsi="Arial" w:cs="Times New Roman"/>
      <w:color w:val="007192"/>
      <w:sz w:val="20"/>
      <w:szCs w:val="20"/>
      <w:lang w:eastAsia="en-AU"/>
    </w:rPr>
    <w:tblPr>
      <w:tblStyleRowBandSize w:val="1"/>
      <w:tblStyleColBandSize w:val="1"/>
      <w:tblInd w:w="0" w:type="dxa"/>
      <w:tblBorders>
        <w:top w:val="single" w:sz="8" w:space="0" w:color="0098C3"/>
        <w:bottom w:val="single" w:sz="8" w:space="0" w:color="0098C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la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cPr>
    </w:tblStylePr>
    <w:tblStylePr w:type="band1Horz">
      <w:tblPr/>
      <w:tcPr>
        <w:tcBorders>
          <w:left w:val="nil"/>
          <w:right w:val="nil"/>
          <w:insideH w:val="nil"/>
          <w:insideV w:val="nil"/>
        </w:tcBorders>
        <w:shd w:val="clear" w:color="auto" w:fill="B1EDFF"/>
      </w:tcPr>
    </w:tblStylePr>
  </w:style>
  <w:style w:type="table" w:styleId="ColorfulShading-Accent6">
    <w:name w:val="Colorful Shading Accent 6"/>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DC5034"/>
        <w:left w:val="single" w:sz="8" w:space="0" w:color="DC5034"/>
        <w:bottom w:val="single" w:sz="8" w:space="0" w:color="DC5034"/>
        <w:right w:val="single" w:sz="8" w:space="0" w:color="DC5034"/>
        <w:insideH w:val="single" w:sz="8" w:space="0" w:color="DC5034"/>
        <w:insideV w:val="single" w:sz="8" w:space="0" w:color="DC5034"/>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DC5034"/>
          <w:left w:val="single" w:sz="8" w:space="0" w:color="DC5034"/>
          <w:bottom w:val="single" w:sz="18" w:space="0" w:color="DC5034"/>
          <w:right w:val="single" w:sz="8" w:space="0" w:color="DC5034"/>
          <w:insideH w:val="nil"/>
          <w:insideV w:val="single" w:sz="8" w:space="0" w:color="DC5034"/>
        </w:tcBorders>
      </w:tcPr>
    </w:tblStylePr>
    <w:tblStylePr w:type="lastRow">
      <w:pPr>
        <w:spacing w:before="0" w:after="0" w:line="240" w:lineRule="auto"/>
      </w:pPr>
      <w:rPr>
        <w:rFonts w:ascii="MS Mincho" w:eastAsia="Times New Roman" w:hAnsi="MS Mincho" w:cs="Times New Roman"/>
        <w:b/>
        <w:bCs/>
      </w:rPr>
      <w:tblPr/>
      <w:tcPr>
        <w:tcBorders>
          <w:top w:val="double" w:sz="6" w:space="0" w:color="DC5034"/>
          <w:left w:val="single" w:sz="8" w:space="0" w:color="DC5034"/>
          <w:bottom w:val="single" w:sz="8" w:space="0" w:color="DC5034"/>
          <w:right w:val="single" w:sz="8" w:space="0" w:color="DC5034"/>
          <w:insideH w:val="nil"/>
          <w:insideV w:val="single" w:sz="8" w:space="0" w:color="DC5034"/>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DC5034"/>
          <w:left w:val="single" w:sz="8" w:space="0" w:color="DC5034"/>
          <w:bottom w:val="single" w:sz="8" w:space="0" w:color="DC5034"/>
          <w:right w:val="single" w:sz="8" w:space="0" w:color="DC5034"/>
        </w:tcBorders>
      </w:tcPr>
    </w:tblStylePr>
    <w:tblStylePr w:type="band1Vert">
      <w:tblPr/>
      <w:tcPr>
        <w:tcBorders>
          <w:top w:val="single" w:sz="8" w:space="0" w:color="DC5034"/>
          <w:left w:val="single" w:sz="8" w:space="0" w:color="DC5034"/>
          <w:bottom w:val="single" w:sz="8" w:space="0" w:color="DC5034"/>
          <w:right w:val="single" w:sz="8" w:space="0" w:color="DC5034"/>
        </w:tcBorders>
        <w:shd w:val="clear" w:color="auto" w:fill="F6D3CC"/>
      </w:tcPr>
    </w:tblStylePr>
    <w:tblStylePr w:type="band1Horz">
      <w:tblPr/>
      <w:tcPr>
        <w:tcBorders>
          <w:top w:val="single" w:sz="8" w:space="0" w:color="DC5034"/>
          <w:left w:val="single" w:sz="8" w:space="0" w:color="DC5034"/>
          <w:bottom w:val="single" w:sz="8" w:space="0" w:color="DC5034"/>
          <w:right w:val="single" w:sz="8" w:space="0" w:color="DC5034"/>
          <w:insideV w:val="single" w:sz="8" w:space="0" w:color="DC5034"/>
        </w:tcBorders>
        <w:shd w:val="clear" w:color="auto" w:fill="F6D3CC"/>
      </w:tcPr>
    </w:tblStylePr>
    <w:tblStylePr w:type="band2Horz">
      <w:tblPr/>
      <w:tcPr>
        <w:tcBorders>
          <w:top w:val="single" w:sz="8" w:space="0" w:color="DC5034"/>
          <w:left w:val="single" w:sz="8" w:space="0" w:color="DC5034"/>
          <w:bottom w:val="single" w:sz="8" w:space="0" w:color="DC5034"/>
          <w:right w:val="single" w:sz="8" w:space="0" w:color="DC5034"/>
          <w:insideV w:val="single" w:sz="8" w:space="0" w:color="DC5034"/>
        </w:tcBorders>
      </w:tcPr>
    </w:tblStylePr>
  </w:style>
  <w:style w:type="table" w:styleId="ColorfulList">
    <w:name w:val="Colorful List"/>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758A9A"/>
        <w:left w:val="single" w:sz="8" w:space="0" w:color="758A9A"/>
        <w:bottom w:val="single" w:sz="8" w:space="0" w:color="758A9A"/>
        <w:right w:val="single" w:sz="8" w:space="0" w:color="758A9A"/>
        <w:insideH w:val="single" w:sz="8" w:space="0" w:color="758A9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58A9A"/>
          <w:left w:val="single" w:sz="8" w:space="0" w:color="758A9A"/>
          <w:bottom w:val="single" w:sz="8" w:space="0" w:color="758A9A"/>
          <w:right w:val="single" w:sz="8" w:space="0" w:color="758A9A"/>
          <w:insideH w:val="nil"/>
          <w:insideV w:val="nil"/>
        </w:tcBorders>
        <w:shd w:val="clear" w:color="auto" w:fill="51626F"/>
      </w:tcPr>
    </w:tblStylePr>
    <w:tblStylePr w:type="lastRow">
      <w:pPr>
        <w:spacing w:before="0" w:after="0" w:line="240" w:lineRule="auto"/>
      </w:pPr>
      <w:rPr>
        <w:b/>
        <w:bCs/>
      </w:rPr>
      <w:tblPr/>
      <w:tcPr>
        <w:tcBorders>
          <w:top w:val="double" w:sz="6" w:space="0" w:color="758A9A"/>
          <w:left w:val="single" w:sz="8" w:space="0" w:color="758A9A"/>
          <w:bottom w:val="single" w:sz="8" w:space="0" w:color="758A9A"/>
          <w:right w:val="single" w:sz="8" w:space="0" w:color="758A9A"/>
          <w:insideH w:val="nil"/>
          <w:insideV w:val="nil"/>
        </w:tcBorders>
      </w:tcPr>
    </w:tblStylePr>
    <w:tblStylePr w:type="firstCol">
      <w:rPr>
        <w:b/>
        <w:bCs/>
      </w:rPr>
    </w:tblStylePr>
    <w:tblStylePr w:type="lastCol">
      <w:rPr>
        <w:b/>
        <w:bCs/>
      </w:rPr>
    </w:tblStylePr>
    <w:tblStylePr w:type="band1Vert">
      <w:tblPr/>
      <w:tcPr>
        <w:shd w:val="clear" w:color="auto" w:fill="D1D8DD"/>
      </w:tcPr>
    </w:tblStylePr>
    <w:tblStylePr w:type="band1Horz">
      <w:tblPr/>
      <w:tcPr>
        <w:tcBorders>
          <w:insideH w:val="nil"/>
          <w:insideV w:val="nil"/>
        </w:tcBorders>
        <w:shd w:val="clear" w:color="auto" w:fill="D1D8DD"/>
      </w:tcPr>
    </w:tblStylePr>
    <w:tblStylePr w:type="band2Horz">
      <w:tblPr/>
      <w:tcPr>
        <w:tcBorders>
          <w:insideH w:val="nil"/>
          <w:insideV w:val="nil"/>
        </w:tcBorders>
      </w:tcPr>
    </w:tblStylePr>
  </w:style>
  <w:style w:type="table" w:styleId="ColorfulList-Accent2">
    <w:name w:val="Colorful List Accent 2"/>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7643BB"/>
        <w:left w:val="single" w:sz="8" w:space="0" w:color="7643BB"/>
        <w:bottom w:val="single" w:sz="8" w:space="0" w:color="7643BB"/>
        <w:right w:val="single" w:sz="8" w:space="0" w:color="7643BB"/>
        <w:insideH w:val="single" w:sz="8" w:space="0" w:color="7643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643BB"/>
          <w:left w:val="single" w:sz="8" w:space="0" w:color="7643BB"/>
          <w:bottom w:val="single" w:sz="8" w:space="0" w:color="7643BB"/>
          <w:right w:val="single" w:sz="8" w:space="0" w:color="7643BB"/>
          <w:insideH w:val="nil"/>
          <w:insideV w:val="nil"/>
        </w:tcBorders>
        <w:shd w:val="clear" w:color="auto" w:fill="4F2D7D"/>
      </w:tcPr>
    </w:tblStylePr>
    <w:tblStylePr w:type="lastRow">
      <w:pPr>
        <w:spacing w:before="0" w:after="0" w:line="240" w:lineRule="auto"/>
      </w:pPr>
      <w:rPr>
        <w:b/>
        <w:bCs/>
      </w:rPr>
      <w:tblPr/>
      <w:tcPr>
        <w:tcBorders>
          <w:top w:val="double" w:sz="6" w:space="0" w:color="7643BB"/>
          <w:left w:val="single" w:sz="8" w:space="0" w:color="7643BB"/>
          <w:bottom w:val="single" w:sz="8" w:space="0" w:color="7643BB"/>
          <w:right w:val="single" w:sz="8" w:space="0" w:color="7643BB"/>
          <w:insideH w:val="nil"/>
          <w:insideV w:val="nil"/>
        </w:tcBorders>
      </w:tcPr>
    </w:tblStylePr>
    <w:tblStylePr w:type="firstCol">
      <w:rPr>
        <w:b/>
        <w:bCs/>
      </w:rPr>
    </w:tblStylePr>
    <w:tblStylePr w:type="lastCol">
      <w:rPr>
        <w:b/>
        <w:bCs/>
      </w:rPr>
    </w:tblStylePr>
    <w:tblStylePr w:type="band1Vert">
      <w:tblPr/>
      <w:tcPr>
        <w:shd w:val="clear" w:color="auto" w:fill="D1C1E8"/>
      </w:tcPr>
    </w:tblStylePr>
    <w:tblStylePr w:type="band1Horz">
      <w:tblPr/>
      <w:tcPr>
        <w:tcBorders>
          <w:insideH w:val="nil"/>
          <w:insideV w:val="nil"/>
        </w:tcBorders>
        <w:shd w:val="clear" w:color="auto" w:fill="D1C1E8"/>
      </w:tcPr>
    </w:tblStylePr>
    <w:tblStylePr w:type="band2Horz">
      <w:tblPr/>
      <w:tcPr>
        <w:tcBorders>
          <w:insideH w:val="nil"/>
          <w:insideV w:val="nil"/>
        </w:tcBorders>
      </w:tcPr>
    </w:tblStylePr>
  </w:style>
  <w:style w:type="table" w:styleId="ColorfulList-Accent3">
    <w:name w:val="Colorful List Accent 3"/>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13CAFF"/>
        <w:left w:val="single" w:sz="8" w:space="0" w:color="13CAFF"/>
        <w:bottom w:val="single" w:sz="8" w:space="0" w:color="13CAFF"/>
        <w:right w:val="single" w:sz="8" w:space="0" w:color="13CAFF"/>
        <w:insideH w:val="single" w:sz="8" w:space="0" w:color="13CAF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13CAFF"/>
          <w:left w:val="single" w:sz="8" w:space="0" w:color="13CAFF"/>
          <w:bottom w:val="single" w:sz="8" w:space="0" w:color="13CAFF"/>
          <w:right w:val="single" w:sz="8" w:space="0" w:color="13CAFF"/>
          <w:insideH w:val="nil"/>
          <w:insideV w:val="nil"/>
        </w:tcBorders>
        <w:shd w:val="clear" w:color="auto" w:fill="0098C3"/>
      </w:tcPr>
    </w:tblStylePr>
    <w:tblStylePr w:type="lastRow">
      <w:pPr>
        <w:spacing w:before="0" w:after="0" w:line="240" w:lineRule="auto"/>
      </w:pPr>
      <w:rPr>
        <w:b/>
        <w:bCs/>
      </w:rPr>
      <w:tblPr/>
      <w:tcPr>
        <w:tcBorders>
          <w:top w:val="double" w:sz="6" w:space="0" w:color="13CAFF"/>
          <w:left w:val="single" w:sz="8" w:space="0" w:color="13CAFF"/>
          <w:bottom w:val="single" w:sz="8" w:space="0" w:color="13CAFF"/>
          <w:right w:val="single" w:sz="8" w:space="0" w:color="13CAFF"/>
          <w:insideH w:val="nil"/>
          <w:insideV w:val="nil"/>
        </w:tcBorders>
      </w:tcPr>
    </w:tblStylePr>
    <w:tblStylePr w:type="firstCol">
      <w:rPr>
        <w:b/>
        <w:bCs/>
      </w:rPr>
    </w:tblStylePr>
    <w:tblStylePr w:type="lastCol">
      <w:rPr>
        <w:b/>
        <w:bCs/>
      </w:rPr>
    </w:tblStylePr>
    <w:tblStylePr w:type="band1Vert">
      <w:tblPr/>
      <w:tcPr>
        <w:shd w:val="clear" w:color="auto" w:fill="B1EDFF"/>
      </w:tcPr>
    </w:tblStylePr>
    <w:tblStylePr w:type="band1Horz">
      <w:tblPr/>
      <w:tcPr>
        <w:tcBorders>
          <w:insideH w:val="nil"/>
          <w:insideV w:val="nil"/>
        </w:tcBorders>
        <w:shd w:val="clear" w:color="auto" w:fill="B1EDFF"/>
      </w:tcPr>
    </w:tblStylePr>
    <w:tblStylePr w:type="band2Horz">
      <w:tblPr/>
      <w:tcPr>
        <w:tcBorders>
          <w:insideH w:val="nil"/>
          <w:insideV w:val="nil"/>
        </w:tcBorders>
      </w:tcPr>
    </w:tblStylePr>
  </w:style>
  <w:style w:type="table" w:styleId="ColorfulList-Accent4">
    <w:name w:val="Colorful List Accent 4"/>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B7DAF0"/>
        <w:left w:val="single" w:sz="8" w:space="0" w:color="B7DAF0"/>
        <w:bottom w:val="single" w:sz="8" w:space="0" w:color="B7DAF0"/>
        <w:right w:val="single" w:sz="8" w:space="0" w:color="B7DAF0"/>
        <w:insideH w:val="single" w:sz="8" w:space="0" w:color="B7DAF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7DAF0"/>
          <w:left w:val="single" w:sz="8" w:space="0" w:color="B7DAF0"/>
          <w:bottom w:val="single" w:sz="8" w:space="0" w:color="B7DAF0"/>
          <w:right w:val="single" w:sz="8" w:space="0" w:color="B7DAF0"/>
          <w:insideH w:val="nil"/>
          <w:insideV w:val="nil"/>
        </w:tcBorders>
        <w:shd w:val="clear" w:color="auto" w:fill="A0CFEB"/>
      </w:tcPr>
    </w:tblStylePr>
    <w:tblStylePr w:type="lastRow">
      <w:pPr>
        <w:spacing w:before="0" w:after="0" w:line="240" w:lineRule="auto"/>
      </w:pPr>
      <w:rPr>
        <w:b/>
        <w:bCs/>
      </w:rPr>
      <w:tblPr/>
      <w:tcPr>
        <w:tcBorders>
          <w:top w:val="double" w:sz="6" w:space="0" w:color="B7DAF0"/>
          <w:left w:val="single" w:sz="8" w:space="0" w:color="B7DAF0"/>
          <w:bottom w:val="single" w:sz="8" w:space="0" w:color="B7DAF0"/>
          <w:right w:val="single" w:sz="8" w:space="0" w:color="B7DAF0"/>
          <w:insideH w:val="nil"/>
          <w:insideV w:val="nil"/>
        </w:tcBorders>
      </w:tcPr>
    </w:tblStylePr>
    <w:tblStylePr w:type="firstCol">
      <w:rPr>
        <w:b/>
        <w:bCs/>
      </w:rPr>
    </w:tblStylePr>
    <w:tblStylePr w:type="lastCol">
      <w:rPr>
        <w:b/>
        <w:bCs/>
      </w:rPr>
    </w:tblStylePr>
    <w:tblStylePr w:type="band1Vert">
      <w:tblPr/>
      <w:tcPr>
        <w:shd w:val="clear" w:color="auto" w:fill="E7F3FA"/>
      </w:tcPr>
    </w:tblStylePr>
    <w:tblStylePr w:type="band1Horz">
      <w:tblPr/>
      <w:tcPr>
        <w:tcBorders>
          <w:insideH w:val="nil"/>
          <w:insideV w:val="nil"/>
        </w:tcBorders>
        <w:shd w:val="clear" w:color="auto" w:fill="E7F3FA"/>
      </w:tcPr>
    </w:tblStylePr>
    <w:tblStylePr w:type="band2Horz">
      <w:tblPr/>
      <w:tcPr>
        <w:tcBorders>
          <w:insideH w:val="nil"/>
          <w:insideV w:val="nil"/>
        </w:tcBorders>
      </w:tcPr>
    </w:tblStylePr>
  </w:style>
  <w:style w:type="table" w:styleId="ColorfulList-Accent5">
    <w:name w:val="Colorful List Accent 5"/>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FC220E"/>
        <w:left w:val="single" w:sz="8" w:space="0" w:color="FC220E"/>
        <w:bottom w:val="single" w:sz="8" w:space="0" w:color="FC220E"/>
        <w:right w:val="single" w:sz="8" w:space="0" w:color="FC220E"/>
        <w:insideH w:val="single" w:sz="8" w:space="0" w:color="FC220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C220E"/>
          <w:left w:val="single" w:sz="8" w:space="0" w:color="FC220E"/>
          <w:bottom w:val="single" w:sz="8" w:space="0" w:color="FC220E"/>
          <w:right w:val="single" w:sz="8" w:space="0" w:color="FC220E"/>
          <w:insideH w:val="nil"/>
          <w:insideV w:val="nil"/>
        </w:tcBorders>
        <w:shd w:val="clear" w:color="auto" w:fill="B71202"/>
      </w:tcPr>
    </w:tblStylePr>
    <w:tblStylePr w:type="lastRow">
      <w:pPr>
        <w:spacing w:before="0" w:after="0" w:line="240" w:lineRule="auto"/>
      </w:pPr>
      <w:rPr>
        <w:b/>
        <w:bCs/>
      </w:rPr>
      <w:tblPr/>
      <w:tcPr>
        <w:tcBorders>
          <w:top w:val="double" w:sz="6" w:space="0" w:color="FC220E"/>
          <w:left w:val="single" w:sz="8" w:space="0" w:color="FC220E"/>
          <w:bottom w:val="single" w:sz="8" w:space="0" w:color="FC220E"/>
          <w:right w:val="single" w:sz="8" w:space="0" w:color="FC220E"/>
          <w:insideH w:val="nil"/>
          <w:insideV w:val="nil"/>
        </w:tcBorders>
      </w:tcPr>
    </w:tblStylePr>
    <w:tblStylePr w:type="firstCol">
      <w:rPr>
        <w:b/>
        <w:bCs/>
      </w:rPr>
    </w:tblStylePr>
    <w:tblStylePr w:type="lastCol">
      <w:rPr>
        <w:b/>
        <w:bCs/>
      </w:rPr>
    </w:tblStylePr>
    <w:tblStylePr w:type="band1Vert">
      <w:tblPr/>
      <w:tcPr>
        <w:shd w:val="clear" w:color="auto" w:fill="FEB6AF"/>
      </w:tcPr>
    </w:tblStylePr>
    <w:tblStylePr w:type="band1Horz">
      <w:tblPr/>
      <w:tcPr>
        <w:tcBorders>
          <w:insideH w:val="nil"/>
          <w:insideV w:val="nil"/>
        </w:tcBorders>
        <w:shd w:val="clear" w:color="auto" w:fill="FEB6AF"/>
      </w:tcPr>
    </w:tblStylePr>
    <w:tblStylePr w:type="band2Horz">
      <w:tblPr/>
      <w:tcPr>
        <w:tcBorders>
          <w:insideH w:val="nil"/>
          <w:insideV w:val="nil"/>
        </w:tcBorders>
      </w:tcPr>
    </w:tblStylePr>
  </w:style>
  <w:style w:type="table" w:styleId="DarkList">
    <w:name w:val="Dark List"/>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Grid3-Accent5">
    <w:name w:val="Medium Grid 3 Accent 5"/>
    <w:basedOn w:val="TableNormal"/>
    <w:uiPriority w:val="60"/>
    <w:rsid w:val="00DC36B0"/>
    <w:pPr>
      <w:spacing w:before="0"/>
    </w:pPr>
    <w:rPr>
      <w:rFonts w:ascii="Arial" w:eastAsia="Arial" w:hAnsi="Arial" w:cs="Times New Roman"/>
      <w:color w:val="880D01"/>
      <w:sz w:val="20"/>
      <w:szCs w:val="20"/>
      <w:lang w:eastAsia="en-AU"/>
    </w:rPr>
    <w:tblPr>
      <w:tblStyleRowBandSize w:val="1"/>
      <w:tblStyleColBandSize w:val="1"/>
      <w:tblInd w:w="0" w:type="dxa"/>
      <w:tblBorders>
        <w:top w:val="single" w:sz="8" w:space="0" w:color="B71202"/>
        <w:bottom w:val="single" w:sz="8" w:space="0" w:color="B7120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la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cPr>
    </w:tblStylePr>
    <w:tblStylePr w:type="band1Horz">
      <w:tblPr/>
      <w:tcPr>
        <w:tcBorders>
          <w:left w:val="nil"/>
          <w:right w:val="nil"/>
          <w:insideH w:val="nil"/>
          <w:insideV w:val="nil"/>
        </w:tcBorders>
        <w:shd w:val="clear" w:color="auto" w:fill="FEB6AF"/>
      </w:tcPr>
    </w:tblStylePr>
  </w:style>
  <w:style w:type="table" w:styleId="ColorfulShading-Accent3">
    <w:name w:val="Colorful Shading Accent 3"/>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0098C3"/>
        <w:left w:val="single" w:sz="8" w:space="0" w:color="0098C3"/>
        <w:bottom w:val="single" w:sz="8" w:space="0" w:color="0098C3"/>
        <w:right w:val="single" w:sz="8" w:space="0" w:color="0098C3"/>
        <w:insideH w:val="single" w:sz="8" w:space="0" w:color="0098C3"/>
        <w:insideV w:val="single" w:sz="8" w:space="0" w:color="0098C3"/>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0098C3"/>
          <w:left w:val="single" w:sz="8" w:space="0" w:color="0098C3"/>
          <w:bottom w:val="single" w:sz="18" w:space="0" w:color="0098C3"/>
          <w:right w:val="single" w:sz="8" w:space="0" w:color="0098C3"/>
          <w:insideH w:val="nil"/>
          <w:insideV w:val="single" w:sz="8" w:space="0" w:color="0098C3"/>
        </w:tcBorders>
      </w:tcPr>
    </w:tblStylePr>
    <w:tblStylePr w:type="lastRow">
      <w:pPr>
        <w:spacing w:before="0" w:after="0" w:line="240" w:lineRule="auto"/>
      </w:pPr>
      <w:rPr>
        <w:rFonts w:ascii="MS Mincho" w:eastAsia="Times New Roman" w:hAnsi="MS Mincho" w:cs="Times New Roman"/>
        <w:b/>
        <w:bCs/>
      </w:rPr>
      <w:tblPr/>
      <w:tcPr>
        <w:tcBorders>
          <w:top w:val="double" w:sz="6" w:space="0" w:color="0098C3"/>
          <w:left w:val="single" w:sz="8" w:space="0" w:color="0098C3"/>
          <w:bottom w:val="single" w:sz="8" w:space="0" w:color="0098C3"/>
          <w:right w:val="single" w:sz="8" w:space="0" w:color="0098C3"/>
          <w:insideH w:val="nil"/>
          <w:insideV w:val="single" w:sz="8" w:space="0" w:color="0098C3"/>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0098C3"/>
          <w:left w:val="single" w:sz="8" w:space="0" w:color="0098C3"/>
          <w:bottom w:val="single" w:sz="8" w:space="0" w:color="0098C3"/>
          <w:right w:val="single" w:sz="8" w:space="0" w:color="0098C3"/>
        </w:tcBorders>
      </w:tcPr>
    </w:tblStylePr>
    <w:tblStylePr w:type="band1Vert">
      <w:tblPr/>
      <w:tcPr>
        <w:tcBorders>
          <w:top w:val="single" w:sz="8" w:space="0" w:color="0098C3"/>
          <w:left w:val="single" w:sz="8" w:space="0" w:color="0098C3"/>
          <w:bottom w:val="single" w:sz="8" w:space="0" w:color="0098C3"/>
          <w:right w:val="single" w:sz="8" w:space="0" w:color="0098C3"/>
        </w:tcBorders>
        <w:shd w:val="clear" w:color="auto" w:fill="B1EDFF"/>
      </w:tcPr>
    </w:tblStylePr>
    <w:tblStylePr w:type="band1Horz">
      <w:tblPr/>
      <w:tcPr>
        <w:tcBorders>
          <w:top w:val="single" w:sz="8" w:space="0" w:color="0098C3"/>
          <w:left w:val="single" w:sz="8" w:space="0" w:color="0098C3"/>
          <w:bottom w:val="single" w:sz="8" w:space="0" w:color="0098C3"/>
          <w:right w:val="single" w:sz="8" w:space="0" w:color="0098C3"/>
          <w:insideV w:val="single" w:sz="8" w:space="0" w:color="0098C3"/>
        </w:tcBorders>
        <w:shd w:val="clear" w:color="auto" w:fill="B1EDFF"/>
      </w:tcPr>
    </w:tblStylePr>
    <w:tblStylePr w:type="band2Horz">
      <w:tblPr/>
      <w:tcPr>
        <w:tcBorders>
          <w:top w:val="single" w:sz="8" w:space="0" w:color="0098C3"/>
          <w:left w:val="single" w:sz="8" w:space="0" w:color="0098C3"/>
          <w:bottom w:val="single" w:sz="8" w:space="0" w:color="0098C3"/>
          <w:right w:val="single" w:sz="8" w:space="0" w:color="0098C3"/>
          <w:insideV w:val="single" w:sz="8" w:space="0" w:color="0098C3"/>
        </w:tcBorders>
      </w:tcPr>
    </w:tblStylePr>
  </w:style>
  <w:style w:type="paragraph" w:customStyle="1" w:styleId="Bibliography1">
    <w:name w:val="Bibliography1"/>
    <w:basedOn w:val="Normal"/>
    <w:next w:val="Normal"/>
    <w:uiPriority w:val="37"/>
    <w:semiHidden/>
    <w:rsid w:val="00DC36B0"/>
    <w:rPr>
      <w:rFonts w:eastAsia="MS Mincho" w:cs="Times New Roman"/>
      <w:szCs w:val="24"/>
    </w:rPr>
  </w:style>
  <w:style w:type="table" w:styleId="MediumList2-Accent1">
    <w:name w:val="Medium List 2 Accent 1"/>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51626F"/>
        <w:left w:val="single" w:sz="8" w:space="0" w:color="51626F"/>
        <w:bottom w:val="single" w:sz="8" w:space="0" w:color="51626F"/>
        <w:right w:val="single" w:sz="8" w:space="0" w:color="51626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626F"/>
      </w:tcPr>
    </w:tblStylePr>
    <w:tblStylePr w:type="lastRow">
      <w:pPr>
        <w:spacing w:before="0" w:after="0" w:line="240" w:lineRule="auto"/>
      </w:pPr>
      <w:rPr>
        <w:b/>
        <w:bCs/>
      </w:rPr>
      <w:tblPr/>
      <w:tcPr>
        <w:tcBorders>
          <w:top w:val="double" w:sz="6" w:space="0" w:color="51626F"/>
          <w:left w:val="single" w:sz="8" w:space="0" w:color="51626F"/>
          <w:bottom w:val="single" w:sz="8" w:space="0" w:color="51626F"/>
          <w:right w:val="single" w:sz="8" w:space="0" w:color="51626F"/>
        </w:tcBorders>
      </w:tcPr>
    </w:tblStylePr>
    <w:tblStylePr w:type="firstCol">
      <w:rPr>
        <w:b/>
        <w:bCs/>
      </w:rPr>
    </w:tblStylePr>
    <w:tblStylePr w:type="lastCol">
      <w:rPr>
        <w:b/>
        <w:bCs/>
      </w:rPr>
    </w:tblStylePr>
    <w:tblStylePr w:type="band1Vert">
      <w:tblPr/>
      <w:tcPr>
        <w:tcBorders>
          <w:top w:val="single" w:sz="8" w:space="0" w:color="51626F"/>
          <w:left w:val="single" w:sz="8" w:space="0" w:color="51626F"/>
          <w:bottom w:val="single" w:sz="8" w:space="0" w:color="51626F"/>
          <w:right w:val="single" w:sz="8" w:space="0" w:color="51626F"/>
        </w:tcBorders>
      </w:tcPr>
    </w:tblStylePr>
    <w:tblStylePr w:type="band1Horz">
      <w:tblPr/>
      <w:tcPr>
        <w:tcBorders>
          <w:top w:val="single" w:sz="8" w:space="0" w:color="51626F"/>
          <w:left w:val="single" w:sz="8" w:space="0" w:color="51626F"/>
          <w:bottom w:val="single" w:sz="8" w:space="0" w:color="51626F"/>
          <w:right w:val="single" w:sz="8" w:space="0" w:color="51626F"/>
        </w:tcBorders>
      </w:tcPr>
    </w:tblStylePr>
  </w:style>
  <w:style w:type="table" w:styleId="DarkList-Accent3">
    <w:name w:val="Dark List Accent 3"/>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0098C3"/>
        <w:left w:val="single" w:sz="8" w:space="0" w:color="0098C3"/>
        <w:bottom w:val="single" w:sz="8" w:space="0" w:color="0098C3"/>
        <w:right w:val="single" w:sz="8" w:space="0" w:color="0098C3"/>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98C3"/>
      </w:tcPr>
    </w:tblStylePr>
    <w:tblStylePr w:type="lastRow">
      <w:pPr>
        <w:spacing w:before="0" w:after="0" w:line="240" w:lineRule="auto"/>
      </w:pPr>
      <w:rPr>
        <w:b/>
        <w:bCs/>
      </w:rPr>
      <w:tblPr/>
      <w:tcPr>
        <w:tcBorders>
          <w:top w:val="double" w:sz="6" w:space="0" w:color="0098C3"/>
          <w:left w:val="single" w:sz="8" w:space="0" w:color="0098C3"/>
          <w:bottom w:val="single" w:sz="8" w:space="0" w:color="0098C3"/>
          <w:right w:val="single" w:sz="8" w:space="0" w:color="0098C3"/>
        </w:tcBorders>
      </w:tcPr>
    </w:tblStylePr>
    <w:tblStylePr w:type="firstCol">
      <w:rPr>
        <w:b/>
        <w:bCs/>
      </w:rPr>
    </w:tblStylePr>
    <w:tblStylePr w:type="lastCol">
      <w:rPr>
        <w:b/>
        <w:bCs/>
      </w:rPr>
    </w:tblStylePr>
    <w:tblStylePr w:type="band1Vert">
      <w:tblPr/>
      <w:tcPr>
        <w:tcBorders>
          <w:top w:val="single" w:sz="8" w:space="0" w:color="0098C3"/>
          <w:left w:val="single" w:sz="8" w:space="0" w:color="0098C3"/>
          <w:bottom w:val="single" w:sz="8" w:space="0" w:color="0098C3"/>
          <w:right w:val="single" w:sz="8" w:space="0" w:color="0098C3"/>
        </w:tcBorders>
      </w:tcPr>
    </w:tblStylePr>
    <w:tblStylePr w:type="band1Horz">
      <w:tblPr/>
      <w:tcPr>
        <w:tcBorders>
          <w:top w:val="single" w:sz="8" w:space="0" w:color="0098C3"/>
          <w:left w:val="single" w:sz="8" w:space="0" w:color="0098C3"/>
          <w:bottom w:val="single" w:sz="8" w:space="0" w:color="0098C3"/>
          <w:right w:val="single" w:sz="8" w:space="0" w:color="0098C3"/>
        </w:tcBorders>
      </w:tcPr>
    </w:tblStylePr>
  </w:style>
  <w:style w:type="table" w:styleId="DarkList-Accent5">
    <w:name w:val="Dark List Accent 5"/>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B71202"/>
        <w:left w:val="single" w:sz="8" w:space="0" w:color="B71202"/>
        <w:bottom w:val="single" w:sz="8" w:space="0" w:color="B71202"/>
        <w:right w:val="single" w:sz="8" w:space="0" w:color="B71202"/>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cPr>
    </w:tblStylePr>
    <w:tblStylePr w:type="lastRow">
      <w:pPr>
        <w:spacing w:before="0" w:after="0" w:line="240" w:lineRule="auto"/>
      </w:pPr>
      <w:rPr>
        <w:b/>
        <w:bCs/>
      </w:rPr>
      <w:tblPr/>
      <w:tcPr>
        <w:tcBorders>
          <w:top w:val="double" w:sz="6" w:space="0" w:color="B71202"/>
          <w:left w:val="single" w:sz="8" w:space="0" w:color="B71202"/>
          <w:bottom w:val="single" w:sz="8" w:space="0" w:color="B71202"/>
          <w:right w:val="single" w:sz="8" w:space="0" w:color="B71202"/>
        </w:tcBorders>
      </w:tcPr>
    </w:tblStylePr>
    <w:tblStylePr w:type="firstCol">
      <w:rPr>
        <w:b/>
        <w:bCs/>
      </w:rPr>
    </w:tblStylePr>
    <w:tblStylePr w:type="lastCol">
      <w:rPr>
        <w:b/>
        <w:bCs/>
      </w:rPr>
    </w:tblStylePr>
    <w:tblStylePr w:type="band1Vert">
      <w:tblPr/>
      <w:tcPr>
        <w:tcBorders>
          <w:top w:val="single" w:sz="8" w:space="0" w:color="B71202"/>
          <w:left w:val="single" w:sz="8" w:space="0" w:color="B71202"/>
          <w:bottom w:val="single" w:sz="8" w:space="0" w:color="B71202"/>
          <w:right w:val="single" w:sz="8" w:space="0" w:color="B71202"/>
        </w:tcBorders>
      </w:tcPr>
    </w:tblStylePr>
    <w:tblStylePr w:type="band1Horz">
      <w:tblPr/>
      <w:tcPr>
        <w:tcBorders>
          <w:top w:val="single" w:sz="8" w:space="0" w:color="B71202"/>
          <w:left w:val="single" w:sz="8" w:space="0" w:color="B71202"/>
          <w:bottom w:val="single" w:sz="8" w:space="0" w:color="B71202"/>
          <w:right w:val="single" w:sz="8" w:space="0" w:color="B71202"/>
        </w:tcBorders>
      </w:tcPr>
    </w:tblStylePr>
  </w:style>
  <w:style w:type="table" w:styleId="MediumGrid3-Accent4">
    <w:name w:val="Medium Grid 3 Accent 4"/>
    <w:basedOn w:val="TableNormal"/>
    <w:uiPriority w:val="60"/>
    <w:rsid w:val="00DC36B0"/>
    <w:pPr>
      <w:spacing w:before="0"/>
    </w:pPr>
    <w:rPr>
      <w:rFonts w:ascii="Arial" w:eastAsia="Arial" w:hAnsi="Arial" w:cs="Times New Roman"/>
      <w:color w:val="4DA5D9"/>
      <w:sz w:val="20"/>
      <w:szCs w:val="20"/>
      <w:lang w:eastAsia="en-AU"/>
    </w:rPr>
    <w:tblPr>
      <w:tblStyleRowBandSize w:val="1"/>
      <w:tblStyleColBandSize w:val="1"/>
      <w:tblInd w:w="0" w:type="dxa"/>
      <w:tblBorders>
        <w:top w:val="single" w:sz="8" w:space="0" w:color="A0CFEB"/>
        <w:bottom w:val="single" w:sz="8" w:space="0" w:color="A0CFE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la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cPr>
    </w:tblStylePr>
    <w:tblStylePr w:type="band1Horz">
      <w:tblPr/>
      <w:tcPr>
        <w:tcBorders>
          <w:left w:val="nil"/>
          <w:right w:val="nil"/>
          <w:insideH w:val="nil"/>
          <w:insideV w:val="nil"/>
        </w:tcBorders>
        <w:shd w:val="clear" w:color="auto" w:fill="E7F3FA"/>
      </w:tcPr>
    </w:tblStylePr>
  </w:style>
  <w:style w:type="table" w:styleId="MediumGrid3-Accent6">
    <w:name w:val="Medium Grid 3 Accent 6"/>
    <w:basedOn w:val="TableNormal"/>
    <w:uiPriority w:val="60"/>
    <w:rsid w:val="00DC36B0"/>
    <w:pPr>
      <w:spacing w:before="0"/>
    </w:pPr>
    <w:rPr>
      <w:rFonts w:ascii="Arial" w:eastAsia="Arial" w:hAnsi="Arial" w:cs="Times New Roman"/>
      <w:color w:val="AD351E"/>
      <w:sz w:val="20"/>
      <w:szCs w:val="20"/>
      <w:lang w:eastAsia="en-AU"/>
    </w:rPr>
    <w:tblPr>
      <w:tblStyleRowBandSize w:val="1"/>
      <w:tblStyleColBandSize w:val="1"/>
      <w:tblInd w:w="0" w:type="dxa"/>
      <w:tblBorders>
        <w:top w:val="single" w:sz="8" w:space="0" w:color="DC5034"/>
        <w:bottom w:val="single" w:sz="8" w:space="0" w:color="DC503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la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cPr>
    </w:tblStylePr>
    <w:tblStylePr w:type="band1Horz">
      <w:tblPr/>
      <w:tcPr>
        <w:tcBorders>
          <w:left w:val="nil"/>
          <w:right w:val="nil"/>
          <w:insideH w:val="nil"/>
          <w:insideV w:val="nil"/>
        </w:tcBorders>
        <w:shd w:val="clear" w:color="auto" w:fill="F6D3CC"/>
      </w:tcPr>
    </w:tblStylePr>
  </w:style>
  <w:style w:type="table" w:styleId="DarkList-Accent2">
    <w:name w:val="Dark List Accent 2"/>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4F2D7D"/>
        <w:left w:val="single" w:sz="8" w:space="0" w:color="4F2D7D"/>
        <w:bottom w:val="single" w:sz="8" w:space="0" w:color="4F2D7D"/>
        <w:right w:val="single" w:sz="8" w:space="0" w:color="4F2D7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2D7D"/>
      </w:tcPr>
    </w:tblStylePr>
    <w:tblStylePr w:type="lastRow">
      <w:pPr>
        <w:spacing w:before="0" w:after="0" w:line="240" w:lineRule="auto"/>
      </w:pPr>
      <w:rPr>
        <w:b/>
        <w:bCs/>
      </w:rPr>
      <w:tblPr/>
      <w:tcPr>
        <w:tcBorders>
          <w:top w:val="double" w:sz="6" w:space="0" w:color="4F2D7D"/>
          <w:left w:val="single" w:sz="8" w:space="0" w:color="4F2D7D"/>
          <w:bottom w:val="single" w:sz="8" w:space="0" w:color="4F2D7D"/>
          <w:right w:val="single" w:sz="8" w:space="0" w:color="4F2D7D"/>
        </w:tcBorders>
      </w:tcPr>
    </w:tblStylePr>
    <w:tblStylePr w:type="firstCol">
      <w:rPr>
        <w:b/>
        <w:bCs/>
      </w:rPr>
    </w:tblStylePr>
    <w:tblStylePr w:type="lastCol">
      <w:rPr>
        <w:b/>
        <w:bCs/>
      </w:rPr>
    </w:tblStylePr>
    <w:tblStylePr w:type="band1Vert">
      <w:tblPr/>
      <w:tcPr>
        <w:tcBorders>
          <w:top w:val="single" w:sz="8" w:space="0" w:color="4F2D7D"/>
          <w:left w:val="single" w:sz="8" w:space="0" w:color="4F2D7D"/>
          <w:bottom w:val="single" w:sz="8" w:space="0" w:color="4F2D7D"/>
          <w:right w:val="single" w:sz="8" w:space="0" w:color="4F2D7D"/>
        </w:tcBorders>
      </w:tcPr>
    </w:tblStylePr>
    <w:tblStylePr w:type="band1Horz">
      <w:tblPr/>
      <w:tcPr>
        <w:tcBorders>
          <w:top w:val="single" w:sz="8" w:space="0" w:color="4F2D7D"/>
          <w:left w:val="single" w:sz="8" w:space="0" w:color="4F2D7D"/>
          <w:bottom w:val="single" w:sz="8" w:space="0" w:color="4F2D7D"/>
          <w:right w:val="single" w:sz="8" w:space="0" w:color="4F2D7D"/>
        </w:tcBorders>
      </w:tcPr>
    </w:tblStylePr>
  </w:style>
  <w:style w:type="table" w:styleId="DarkList-Accent4">
    <w:name w:val="Dark List Accent 4"/>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A0CFEB"/>
        <w:left w:val="single" w:sz="8" w:space="0" w:color="A0CFEB"/>
        <w:bottom w:val="single" w:sz="8" w:space="0" w:color="A0CFEB"/>
        <w:right w:val="single" w:sz="8" w:space="0" w:color="A0CFE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0CFEB"/>
      </w:tcPr>
    </w:tblStylePr>
    <w:tblStylePr w:type="lastRow">
      <w:pPr>
        <w:spacing w:before="0" w:after="0" w:line="240" w:lineRule="auto"/>
      </w:pPr>
      <w:rPr>
        <w:b/>
        <w:bCs/>
      </w:rPr>
      <w:tblPr/>
      <w:tcPr>
        <w:tcBorders>
          <w:top w:val="double" w:sz="6" w:space="0" w:color="A0CFEB"/>
          <w:left w:val="single" w:sz="8" w:space="0" w:color="A0CFEB"/>
          <w:bottom w:val="single" w:sz="8" w:space="0" w:color="A0CFEB"/>
          <w:right w:val="single" w:sz="8" w:space="0" w:color="A0CFEB"/>
        </w:tcBorders>
      </w:tcPr>
    </w:tblStylePr>
    <w:tblStylePr w:type="firstCol">
      <w:rPr>
        <w:b/>
        <w:bCs/>
      </w:rPr>
    </w:tblStylePr>
    <w:tblStylePr w:type="lastCol">
      <w:rPr>
        <w:b/>
        <w:bCs/>
      </w:rPr>
    </w:tblStylePr>
    <w:tblStylePr w:type="band1Vert">
      <w:tblPr/>
      <w:tcPr>
        <w:tcBorders>
          <w:top w:val="single" w:sz="8" w:space="0" w:color="A0CFEB"/>
          <w:left w:val="single" w:sz="8" w:space="0" w:color="A0CFEB"/>
          <w:bottom w:val="single" w:sz="8" w:space="0" w:color="A0CFEB"/>
          <w:right w:val="single" w:sz="8" w:space="0" w:color="A0CFEB"/>
        </w:tcBorders>
      </w:tcPr>
    </w:tblStylePr>
    <w:tblStylePr w:type="band1Horz">
      <w:tblPr/>
      <w:tcPr>
        <w:tcBorders>
          <w:top w:val="single" w:sz="8" w:space="0" w:color="A0CFEB"/>
          <w:left w:val="single" w:sz="8" w:space="0" w:color="A0CFEB"/>
          <w:bottom w:val="single" w:sz="8" w:space="0" w:color="A0CFEB"/>
          <w:right w:val="single" w:sz="8" w:space="0" w:color="A0CFEB"/>
        </w:tcBorders>
      </w:tcPr>
    </w:tblStylePr>
  </w:style>
  <w:style w:type="table" w:styleId="DarkList-Accent6">
    <w:name w:val="Dark List Accent 6"/>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DC5034"/>
        <w:left w:val="single" w:sz="8" w:space="0" w:color="DC5034"/>
        <w:bottom w:val="single" w:sz="8" w:space="0" w:color="DC5034"/>
        <w:right w:val="single" w:sz="8" w:space="0" w:color="DC503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C5034"/>
      </w:tcPr>
    </w:tblStylePr>
    <w:tblStylePr w:type="lastRow">
      <w:pPr>
        <w:spacing w:before="0" w:after="0" w:line="240" w:lineRule="auto"/>
      </w:pPr>
      <w:rPr>
        <w:b/>
        <w:bCs/>
      </w:rPr>
      <w:tblPr/>
      <w:tcPr>
        <w:tcBorders>
          <w:top w:val="double" w:sz="6" w:space="0" w:color="DC5034"/>
          <w:left w:val="single" w:sz="8" w:space="0" w:color="DC5034"/>
          <w:bottom w:val="single" w:sz="8" w:space="0" w:color="DC5034"/>
          <w:right w:val="single" w:sz="8" w:space="0" w:color="DC5034"/>
        </w:tcBorders>
      </w:tcPr>
    </w:tblStylePr>
    <w:tblStylePr w:type="firstCol">
      <w:rPr>
        <w:b/>
        <w:bCs/>
      </w:rPr>
    </w:tblStylePr>
    <w:tblStylePr w:type="lastCol">
      <w:rPr>
        <w:b/>
        <w:bCs/>
      </w:rPr>
    </w:tblStylePr>
    <w:tblStylePr w:type="band1Vert">
      <w:tblPr/>
      <w:tcPr>
        <w:tcBorders>
          <w:top w:val="single" w:sz="8" w:space="0" w:color="DC5034"/>
          <w:left w:val="single" w:sz="8" w:space="0" w:color="DC5034"/>
          <w:bottom w:val="single" w:sz="8" w:space="0" w:color="DC5034"/>
          <w:right w:val="single" w:sz="8" w:space="0" w:color="DC5034"/>
        </w:tcBorders>
      </w:tcPr>
    </w:tblStylePr>
    <w:tblStylePr w:type="band1Horz">
      <w:tblPr/>
      <w:tcPr>
        <w:tcBorders>
          <w:top w:val="single" w:sz="8" w:space="0" w:color="DC5034"/>
          <w:left w:val="single" w:sz="8" w:space="0" w:color="DC5034"/>
          <w:bottom w:val="single" w:sz="8" w:space="0" w:color="DC5034"/>
          <w:right w:val="single" w:sz="8" w:space="0" w:color="DC5034"/>
        </w:tcBorders>
      </w:tcPr>
    </w:tblStylePr>
  </w:style>
  <w:style w:type="table" w:styleId="ColorfulShading">
    <w:name w:val="Colorful Shading"/>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Mincho" w:eastAsia="Times New Roman" w:hAnsi="MS Mincho"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51626F"/>
        <w:left w:val="single" w:sz="8" w:space="0" w:color="51626F"/>
        <w:bottom w:val="single" w:sz="8" w:space="0" w:color="51626F"/>
        <w:right w:val="single" w:sz="8" w:space="0" w:color="51626F"/>
        <w:insideH w:val="single" w:sz="8" w:space="0" w:color="51626F"/>
        <w:insideV w:val="single" w:sz="8" w:space="0" w:color="51626F"/>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51626F"/>
          <w:left w:val="single" w:sz="8" w:space="0" w:color="51626F"/>
          <w:bottom w:val="single" w:sz="18" w:space="0" w:color="51626F"/>
          <w:right w:val="single" w:sz="8" w:space="0" w:color="51626F"/>
          <w:insideH w:val="nil"/>
          <w:insideV w:val="single" w:sz="8" w:space="0" w:color="51626F"/>
        </w:tcBorders>
      </w:tcPr>
    </w:tblStylePr>
    <w:tblStylePr w:type="lastRow">
      <w:pPr>
        <w:spacing w:before="0" w:after="0" w:line="240" w:lineRule="auto"/>
      </w:pPr>
      <w:rPr>
        <w:rFonts w:ascii="MS Mincho" w:eastAsia="Times New Roman" w:hAnsi="MS Mincho" w:cs="Times New Roman"/>
        <w:b/>
        <w:bCs/>
      </w:rPr>
      <w:tblPr/>
      <w:tcPr>
        <w:tcBorders>
          <w:top w:val="double" w:sz="6" w:space="0" w:color="51626F"/>
          <w:left w:val="single" w:sz="8" w:space="0" w:color="51626F"/>
          <w:bottom w:val="single" w:sz="8" w:space="0" w:color="51626F"/>
          <w:right w:val="single" w:sz="8" w:space="0" w:color="51626F"/>
          <w:insideH w:val="nil"/>
          <w:insideV w:val="single" w:sz="8" w:space="0" w:color="51626F"/>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51626F"/>
          <w:left w:val="single" w:sz="8" w:space="0" w:color="51626F"/>
          <w:bottom w:val="single" w:sz="8" w:space="0" w:color="51626F"/>
          <w:right w:val="single" w:sz="8" w:space="0" w:color="51626F"/>
        </w:tcBorders>
      </w:tcPr>
    </w:tblStylePr>
    <w:tblStylePr w:type="band1Vert">
      <w:tblPr/>
      <w:tcPr>
        <w:tcBorders>
          <w:top w:val="single" w:sz="8" w:space="0" w:color="51626F"/>
          <w:left w:val="single" w:sz="8" w:space="0" w:color="51626F"/>
          <w:bottom w:val="single" w:sz="8" w:space="0" w:color="51626F"/>
          <w:right w:val="single" w:sz="8" w:space="0" w:color="51626F"/>
        </w:tcBorders>
        <w:shd w:val="clear" w:color="auto" w:fill="D1D8DD"/>
      </w:tcPr>
    </w:tblStylePr>
    <w:tblStylePr w:type="band1Horz">
      <w:tblPr/>
      <w:tcPr>
        <w:tcBorders>
          <w:top w:val="single" w:sz="8" w:space="0" w:color="51626F"/>
          <w:left w:val="single" w:sz="8" w:space="0" w:color="51626F"/>
          <w:bottom w:val="single" w:sz="8" w:space="0" w:color="51626F"/>
          <w:right w:val="single" w:sz="8" w:space="0" w:color="51626F"/>
          <w:insideV w:val="single" w:sz="8" w:space="0" w:color="51626F"/>
        </w:tcBorders>
        <w:shd w:val="clear" w:color="auto" w:fill="D1D8DD"/>
      </w:tcPr>
    </w:tblStylePr>
    <w:tblStylePr w:type="band2Horz">
      <w:tblPr/>
      <w:tcPr>
        <w:tcBorders>
          <w:top w:val="single" w:sz="8" w:space="0" w:color="51626F"/>
          <w:left w:val="single" w:sz="8" w:space="0" w:color="51626F"/>
          <w:bottom w:val="single" w:sz="8" w:space="0" w:color="51626F"/>
          <w:right w:val="single" w:sz="8" w:space="0" w:color="51626F"/>
          <w:insideV w:val="single" w:sz="8" w:space="0" w:color="51626F"/>
        </w:tcBorders>
      </w:tcPr>
    </w:tblStylePr>
  </w:style>
  <w:style w:type="table" w:styleId="ColorfulShading-Accent2">
    <w:name w:val="Colorful Shading Accent 2"/>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4F2D7D"/>
        <w:left w:val="single" w:sz="8" w:space="0" w:color="4F2D7D"/>
        <w:bottom w:val="single" w:sz="8" w:space="0" w:color="4F2D7D"/>
        <w:right w:val="single" w:sz="8" w:space="0" w:color="4F2D7D"/>
        <w:insideH w:val="single" w:sz="8" w:space="0" w:color="4F2D7D"/>
        <w:insideV w:val="single" w:sz="8" w:space="0" w:color="4F2D7D"/>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4F2D7D"/>
          <w:left w:val="single" w:sz="8" w:space="0" w:color="4F2D7D"/>
          <w:bottom w:val="single" w:sz="18" w:space="0" w:color="4F2D7D"/>
          <w:right w:val="single" w:sz="8" w:space="0" w:color="4F2D7D"/>
          <w:insideH w:val="nil"/>
          <w:insideV w:val="single" w:sz="8" w:space="0" w:color="4F2D7D"/>
        </w:tcBorders>
      </w:tcPr>
    </w:tblStylePr>
    <w:tblStylePr w:type="lastRow">
      <w:pPr>
        <w:spacing w:before="0" w:after="0" w:line="240" w:lineRule="auto"/>
      </w:pPr>
      <w:rPr>
        <w:rFonts w:ascii="MS Mincho" w:eastAsia="Times New Roman" w:hAnsi="MS Mincho" w:cs="Times New Roman"/>
        <w:b/>
        <w:bCs/>
      </w:rPr>
      <w:tblPr/>
      <w:tcPr>
        <w:tcBorders>
          <w:top w:val="double" w:sz="6" w:space="0" w:color="4F2D7D"/>
          <w:left w:val="single" w:sz="8" w:space="0" w:color="4F2D7D"/>
          <w:bottom w:val="single" w:sz="8" w:space="0" w:color="4F2D7D"/>
          <w:right w:val="single" w:sz="8" w:space="0" w:color="4F2D7D"/>
          <w:insideH w:val="nil"/>
          <w:insideV w:val="single" w:sz="8" w:space="0" w:color="4F2D7D"/>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4F2D7D"/>
          <w:left w:val="single" w:sz="8" w:space="0" w:color="4F2D7D"/>
          <w:bottom w:val="single" w:sz="8" w:space="0" w:color="4F2D7D"/>
          <w:right w:val="single" w:sz="8" w:space="0" w:color="4F2D7D"/>
        </w:tcBorders>
      </w:tcPr>
    </w:tblStylePr>
    <w:tblStylePr w:type="band1Vert">
      <w:tblPr/>
      <w:tcPr>
        <w:tcBorders>
          <w:top w:val="single" w:sz="8" w:space="0" w:color="4F2D7D"/>
          <w:left w:val="single" w:sz="8" w:space="0" w:color="4F2D7D"/>
          <w:bottom w:val="single" w:sz="8" w:space="0" w:color="4F2D7D"/>
          <w:right w:val="single" w:sz="8" w:space="0" w:color="4F2D7D"/>
        </w:tcBorders>
        <w:shd w:val="clear" w:color="auto" w:fill="D1C1E8"/>
      </w:tcPr>
    </w:tblStylePr>
    <w:tblStylePr w:type="band1Horz">
      <w:tblPr/>
      <w:tcPr>
        <w:tcBorders>
          <w:top w:val="single" w:sz="8" w:space="0" w:color="4F2D7D"/>
          <w:left w:val="single" w:sz="8" w:space="0" w:color="4F2D7D"/>
          <w:bottom w:val="single" w:sz="8" w:space="0" w:color="4F2D7D"/>
          <w:right w:val="single" w:sz="8" w:space="0" w:color="4F2D7D"/>
          <w:insideV w:val="single" w:sz="8" w:space="0" w:color="4F2D7D"/>
        </w:tcBorders>
        <w:shd w:val="clear" w:color="auto" w:fill="D1C1E8"/>
      </w:tcPr>
    </w:tblStylePr>
    <w:tblStylePr w:type="band2Horz">
      <w:tblPr/>
      <w:tcPr>
        <w:tcBorders>
          <w:top w:val="single" w:sz="8" w:space="0" w:color="4F2D7D"/>
          <w:left w:val="single" w:sz="8" w:space="0" w:color="4F2D7D"/>
          <w:bottom w:val="single" w:sz="8" w:space="0" w:color="4F2D7D"/>
          <w:right w:val="single" w:sz="8" w:space="0" w:color="4F2D7D"/>
          <w:insideV w:val="single" w:sz="8" w:space="0" w:color="4F2D7D"/>
        </w:tcBorders>
      </w:tcPr>
    </w:tblStylePr>
  </w:style>
  <w:style w:type="table" w:styleId="ColorfulShading-Accent4">
    <w:name w:val="Colorful Shading Accent 4"/>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A0CFEB"/>
        <w:left w:val="single" w:sz="8" w:space="0" w:color="A0CFEB"/>
        <w:bottom w:val="single" w:sz="8" w:space="0" w:color="A0CFEB"/>
        <w:right w:val="single" w:sz="8" w:space="0" w:color="A0CFEB"/>
        <w:insideH w:val="single" w:sz="8" w:space="0" w:color="A0CFEB"/>
        <w:insideV w:val="single" w:sz="8" w:space="0" w:color="A0CFEB"/>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A0CFEB"/>
          <w:left w:val="single" w:sz="8" w:space="0" w:color="A0CFEB"/>
          <w:bottom w:val="single" w:sz="18" w:space="0" w:color="A0CFEB"/>
          <w:right w:val="single" w:sz="8" w:space="0" w:color="A0CFEB"/>
          <w:insideH w:val="nil"/>
          <w:insideV w:val="single" w:sz="8" w:space="0" w:color="A0CFEB"/>
        </w:tcBorders>
      </w:tcPr>
    </w:tblStylePr>
    <w:tblStylePr w:type="lastRow">
      <w:pPr>
        <w:spacing w:before="0" w:after="0" w:line="240" w:lineRule="auto"/>
      </w:pPr>
      <w:rPr>
        <w:rFonts w:ascii="MS Mincho" w:eastAsia="Times New Roman" w:hAnsi="MS Mincho" w:cs="Times New Roman"/>
        <w:b/>
        <w:bCs/>
      </w:rPr>
      <w:tblPr/>
      <w:tcPr>
        <w:tcBorders>
          <w:top w:val="double" w:sz="6" w:space="0" w:color="A0CFEB"/>
          <w:left w:val="single" w:sz="8" w:space="0" w:color="A0CFEB"/>
          <w:bottom w:val="single" w:sz="8" w:space="0" w:color="A0CFEB"/>
          <w:right w:val="single" w:sz="8" w:space="0" w:color="A0CFEB"/>
          <w:insideH w:val="nil"/>
          <w:insideV w:val="single" w:sz="8" w:space="0" w:color="A0CFEB"/>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A0CFEB"/>
          <w:left w:val="single" w:sz="8" w:space="0" w:color="A0CFEB"/>
          <w:bottom w:val="single" w:sz="8" w:space="0" w:color="A0CFEB"/>
          <w:right w:val="single" w:sz="8" w:space="0" w:color="A0CFEB"/>
        </w:tcBorders>
      </w:tcPr>
    </w:tblStylePr>
    <w:tblStylePr w:type="band1Vert">
      <w:tblPr/>
      <w:tcPr>
        <w:tcBorders>
          <w:top w:val="single" w:sz="8" w:space="0" w:color="A0CFEB"/>
          <w:left w:val="single" w:sz="8" w:space="0" w:color="A0CFEB"/>
          <w:bottom w:val="single" w:sz="8" w:space="0" w:color="A0CFEB"/>
          <w:right w:val="single" w:sz="8" w:space="0" w:color="A0CFEB"/>
        </w:tcBorders>
        <w:shd w:val="clear" w:color="auto" w:fill="E7F3FA"/>
      </w:tcPr>
    </w:tblStylePr>
    <w:tblStylePr w:type="band1Horz">
      <w:tblPr/>
      <w:tcPr>
        <w:tcBorders>
          <w:top w:val="single" w:sz="8" w:space="0" w:color="A0CFEB"/>
          <w:left w:val="single" w:sz="8" w:space="0" w:color="A0CFEB"/>
          <w:bottom w:val="single" w:sz="8" w:space="0" w:color="A0CFEB"/>
          <w:right w:val="single" w:sz="8" w:space="0" w:color="A0CFEB"/>
          <w:insideV w:val="single" w:sz="8" w:space="0" w:color="A0CFEB"/>
        </w:tcBorders>
        <w:shd w:val="clear" w:color="auto" w:fill="E7F3FA"/>
      </w:tcPr>
    </w:tblStylePr>
    <w:tblStylePr w:type="band2Horz">
      <w:tblPr/>
      <w:tcPr>
        <w:tcBorders>
          <w:top w:val="single" w:sz="8" w:space="0" w:color="A0CFEB"/>
          <w:left w:val="single" w:sz="8" w:space="0" w:color="A0CFEB"/>
          <w:bottom w:val="single" w:sz="8" w:space="0" w:color="A0CFEB"/>
          <w:right w:val="single" w:sz="8" w:space="0" w:color="A0CFEB"/>
          <w:insideV w:val="single" w:sz="8" w:space="0" w:color="A0CFEB"/>
        </w:tcBorders>
      </w:tcPr>
    </w:tblStylePr>
  </w:style>
  <w:style w:type="table" w:styleId="ColorfulShading-Accent5">
    <w:name w:val="Colorful Shading Accent 5"/>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B71202"/>
        <w:left w:val="single" w:sz="8" w:space="0" w:color="B71202"/>
        <w:bottom w:val="single" w:sz="8" w:space="0" w:color="B71202"/>
        <w:right w:val="single" w:sz="8" w:space="0" w:color="B71202"/>
        <w:insideH w:val="single" w:sz="8" w:space="0" w:color="B71202"/>
        <w:insideV w:val="single" w:sz="8" w:space="0" w:color="B71202"/>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B71202"/>
          <w:left w:val="single" w:sz="8" w:space="0" w:color="B71202"/>
          <w:bottom w:val="single" w:sz="18" w:space="0" w:color="B71202"/>
          <w:right w:val="single" w:sz="8" w:space="0" w:color="B71202"/>
          <w:insideH w:val="nil"/>
          <w:insideV w:val="single" w:sz="8" w:space="0" w:color="B71202"/>
        </w:tcBorders>
      </w:tcPr>
    </w:tblStylePr>
    <w:tblStylePr w:type="lastRow">
      <w:pPr>
        <w:spacing w:before="0" w:after="0" w:line="240" w:lineRule="auto"/>
      </w:pPr>
      <w:rPr>
        <w:rFonts w:ascii="MS Mincho" w:eastAsia="Times New Roman" w:hAnsi="MS Mincho" w:cs="Times New Roman"/>
        <w:b/>
        <w:bCs/>
      </w:rPr>
      <w:tblPr/>
      <w:tcPr>
        <w:tcBorders>
          <w:top w:val="double" w:sz="6" w:space="0" w:color="B71202"/>
          <w:left w:val="single" w:sz="8" w:space="0" w:color="B71202"/>
          <w:bottom w:val="single" w:sz="8" w:space="0" w:color="B71202"/>
          <w:right w:val="single" w:sz="8" w:space="0" w:color="B71202"/>
          <w:insideH w:val="nil"/>
          <w:insideV w:val="single" w:sz="8" w:space="0" w:color="B7120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B71202"/>
          <w:left w:val="single" w:sz="8" w:space="0" w:color="B71202"/>
          <w:bottom w:val="single" w:sz="8" w:space="0" w:color="B71202"/>
          <w:right w:val="single" w:sz="8" w:space="0" w:color="B71202"/>
        </w:tcBorders>
      </w:tcPr>
    </w:tblStylePr>
    <w:tblStylePr w:type="band1Vert">
      <w:tblPr/>
      <w:tcPr>
        <w:tcBorders>
          <w:top w:val="single" w:sz="8" w:space="0" w:color="B71202"/>
          <w:left w:val="single" w:sz="8" w:space="0" w:color="B71202"/>
          <w:bottom w:val="single" w:sz="8" w:space="0" w:color="B71202"/>
          <w:right w:val="single" w:sz="8" w:space="0" w:color="B71202"/>
        </w:tcBorders>
        <w:shd w:val="clear" w:color="auto" w:fill="FEB6AF"/>
      </w:tcPr>
    </w:tblStylePr>
    <w:tblStylePr w:type="band1Horz">
      <w:tblPr/>
      <w:tcPr>
        <w:tcBorders>
          <w:top w:val="single" w:sz="8" w:space="0" w:color="B71202"/>
          <w:left w:val="single" w:sz="8" w:space="0" w:color="B71202"/>
          <w:bottom w:val="single" w:sz="8" w:space="0" w:color="B71202"/>
          <w:right w:val="single" w:sz="8" w:space="0" w:color="B71202"/>
          <w:insideV w:val="single" w:sz="8" w:space="0" w:color="B71202"/>
        </w:tcBorders>
        <w:shd w:val="clear" w:color="auto" w:fill="FEB6AF"/>
      </w:tcPr>
    </w:tblStylePr>
    <w:tblStylePr w:type="band2Horz">
      <w:tblPr/>
      <w:tcPr>
        <w:tcBorders>
          <w:top w:val="single" w:sz="8" w:space="0" w:color="B71202"/>
          <w:left w:val="single" w:sz="8" w:space="0" w:color="B71202"/>
          <w:bottom w:val="single" w:sz="8" w:space="0" w:color="B71202"/>
          <w:right w:val="single" w:sz="8" w:space="0" w:color="B71202"/>
          <w:insideV w:val="single" w:sz="8" w:space="0" w:color="B71202"/>
        </w:tcBorders>
      </w:tcPr>
    </w:tblStylePr>
  </w:style>
  <w:style w:type="paragraph" w:customStyle="1" w:styleId="TableHeading">
    <w:name w:val="Table Heading"/>
    <w:basedOn w:val="Tabletext"/>
    <w:link w:val="TableHeadingChar"/>
    <w:qFormat/>
    <w:rsid w:val="00DC36B0"/>
    <w:pPr>
      <w:spacing w:before="60"/>
    </w:pPr>
    <w:rPr>
      <w:rFonts w:eastAsia="MS Mincho" w:cs="Times New Roman"/>
      <w:b/>
      <w:sz w:val="22"/>
      <w:szCs w:val="24"/>
    </w:rPr>
  </w:style>
  <w:style w:type="character" w:customStyle="1" w:styleId="TableHeadingChar">
    <w:name w:val="Table Heading Char"/>
    <w:link w:val="TableHeading"/>
    <w:rsid w:val="00DC36B0"/>
    <w:rPr>
      <w:rFonts w:ascii="Arial" w:eastAsia="MS Mincho" w:hAnsi="Arial" w:cs="Times New Roman"/>
      <w:b/>
      <w:szCs w:val="24"/>
    </w:rPr>
  </w:style>
  <w:style w:type="character" w:customStyle="1" w:styleId="SubtleReference1">
    <w:name w:val="Subtle Reference1"/>
    <w:uiPriority w:val="31"/>
    <w:unhideWhenUsed/>
    <w:rsid w:val="00DC36B0"/>
    <w:rPr>
      <w:smallCaps/>
      <w:color w:val="4F2D7D"/>
      <w:u w:val="single"/>
    </w:rPr>
  </w:style>
  <w:style w:type="character" w:customStyle="1" w:styleId="Wingdingtick">
    <w:name w:val="Wingding tick"/>
    <w:uiPriority w:val="99"/>
    <w:rsid w:val="00DC36B0"/>
    <w:rPr>
      <w:rFonts w:ascii="Wingdings-Regular" w:hAnsi="Wingdings-Regular" w:cs="Wingdings-Regular"/>
    </w:rPr>
  </w:style>
  <w:style w:type="character" w:customStyle="1" w:styleId="Wingdingstick">
    <w:name w:val="Wingdings tick"/>
    <w:uiPriority w:val="99"/>
    <w:rsid w:val="00DC36B0"/>
    <w:rPr>
      <w:rFonts w:ascii="Wingdings-Regular" w:hAnsi="Wingdings-Regular" w:cs="Wingdings-Regular"/>
    </w:rPr>
  </w:style>
  <w:style w:type="paragraph" w:customStyle="1" w:styleId="Boxheading">
    <w:name w:val="Box heading"/>
    <w:qFormat/>
    <w:rsid w:val="00DC36B0"/>
    <w:pPr>
      <w:spacing w:before="0"/>
    </w:pPr>
    <w:rPr>
      <w:rFonts w:ascii="Arial" w:eastAsia="Times New Roman" w:hAnsi="Arial" w:cs="Times New Roman"/>
      <w:b/>
      <w:bCs/>
      <w:color w:val="000000"/>
      <w:sz w:val="24"/>
      <w:szCs w:val="24"/>
    </w:rPr>
  </w:style>
  <w:style w:type="paragraph" w:styleId="DocumentMap">
    <w:name w:val="Document Map"/>
    <w:basedOn w:val="Normal"/>
    <w:link w:val="DocumentMapChar"/>
    <w:uiPriority w:val="99"/>
    <w:semiHidden/>
    <w:unhideWhenUsed/>
    <w:rsid w:val="00DC36B0"/>
    <w:rPr>
      <w:rFonts w:ascii="Lucida Grande" w:eastAsia="MS Mincho" w:hAnsi="Lucida Grande" w:cs="Lucida Grande"/>
      <w:sz w:val="24"/>
      <w:szCs w:val="24"/>
    </w:rPr>
  </w:style>
  <w:style w:type="character" w:customStyle="1" w:styleId="DocumentMapChar">
    <w:name w:val="Document Map Char"/>
    <w:basedOn w:val="DefaultParagraphFont"/>
    <w:link w:val="DocumentMap"/>
    <w:uiPriority w:val="99"/>
    <w:semiHidden/>
    <w:rsid w:val="00DC36B0"/>
    <w:rPr>
      <w:rFonts w:ascii="Lucida Grande" w:eastAsia="MS Mincho" w:hAnsi="Lucida Grande" w:cs="Lucida Grande"/>
      <w:sz w:val="24"/>
      <w:szCs w:val="24"/>
    </w:rPr>
  </w:style>
  <w:style w:type="paragraph" w:customStyle="1" w:styleId="Reporttitle">
    <w:name w:val="Report title"/>
    <w:basedOn w:val="Normal"/>
    <w:link w:val="ReporttitleChar"/>
    <w:qFormat/>
    <w:rsid w:val="00897AA5"/>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897AA5"/>
    <w:rPr>
      <w:rFonts w:ascii="Lucida Fax" w:hAnsi="Lucida Fax"/>
      <w:color w:val="4F2D7F"/>
      <w:sz w:val="72"/>
      <w:szCs w:val="56"/>
    </w:rPr>
  </w:style>
  <w:style w:type="paragraph" w:customStyle="1" w:styleId="Pullquoteheading">
    <w:name w:val="Pull quote heading"/>
    <w:basedOn w:val="Normal"/>
    <w:link w:val="PullquoteheadingChar"/>
    <w:uiPriority w:val="1"/>
    <w:rsid w:val="00897AA5"/>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897AA5"/>
    <w:rPr>
      <w:rFonts w:ascii="Lucida Fax" w:hAnsi="Lucida Fax"/>
      <w:b/>
      <w:color w:val="DC5034"/>
      <w:sz w:val="24"/>
      <w:szCs w:val="24"/>
    </w:rPr>
  </w:style>
  <w:style w:type="character" w:styleId="BookTitle">
    <w:name w:val="Book Title"/>
    <w:uiPriority w:val="33"/>
    <w:rsid w:val="00897AA5"/>
    <w:rPr>
      <w:rFonts w:ascii="Arial" w:hAnsi="Arial"/>
      <w:bCs/>
      <w:i/>
      <w:caps w:val="0"/>
      <w:smallCaps w:val="0"/>
      <w:spacing w:val="0"/>
      <w:sz w:val="22"/>
    </w:rPr>
  </w:style>
  <w:style w:type="paragraph" w:customStyle="1" w:styleId="Numberedlist">
    <w:name w:val="Numbered list"/>
    <w:basedOn w:val="ListNumber"/>
    <w:rsid w:val="00897AA5"/>
    <w:pPr>
      <w:numPr>
        <w:numId w:val="0"/>
      </w:numPr>
      <w:ind w:left="357" w:hanging="357"/>
    </w:pPr>
  </w:style>
  <w:style w:type="character" w:customStyle="1" w:styleId="NoBreak">
    <w:name w:val="No Break"/>
    <w:uiPriority w:val="99"/>
    <w:rsid w:val="00897AA5"/>
  </w:style>
  <w:style w:type="character" w:styleId="CommentReference">
    <w:name w:val="annotation reference"/>
    <w:basedOn w:val="DefaultParagraphFont"/>
    <w:uiPriority w:val="99"/>
    <w:semiHidden/>
    <w:unhideWhenUsed/>
    <w:rsid w:val="00897AA5"/>
    <w:rPr>
      <w:sz w:val="16"/>
      <w:szCs w:val="16"/>
    </w:rPr>
  </w:style>
  <w:style w:type="paragraph" w:styleId="CommentText">
    <w:name w:val="annotation text"/>
    <w:basedOn w:val="Normal"/>
    <w:link w:val="CommentTextChar"/>
    <w:uiPriority w:val="99"/>
    <w:unhideWhenUsed/>
    <w:rsid w:val="00897AA5"/>
    <w:rPr>
      <w:sz w:val="20"/>
      <w:szCs w:val="20"/>
    </w:rPr>
  </w:style>
  <w:style w:type="character" w:customStyle="1" w:styleId="CommentTextChar">
    <w:name w:val="Comment Text Char"/>
    <w:basedOn w:val="DefaultParagraphFont"/>
    <w:link w:val="CommentText"/>
    <w:uiPriority w:val="99"/>
    <w:rsid w:val="00897AA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7AA5"/>
    <w:rPr>
      <w:b/>
      <w:bCs/>
    </w:rPr>
  </w:style>
  <w:style w:type="character" w:customStyle="1" w:styleId="CommentSubjectChar">
    <w:name w:val="Comment Subject Char"/>
    <w:basedOn w:val="CommentTextChar"/>
    <w:link w:val="CommentSubject"/>
    <w:uiPriority w:val="99"/>
    <w:semiHidden/>
    <w:rsid w:val="00897AA5"/>
    <w:rPr>
      <w:rFonts w:ascii="Arial" w:hAnsi="Arial"/>
      <w:b/>
      <w:bCs/>
      <w:sz w:val="20"/>
      <w:szCs w:val="20"/>
    </w:rPr>
  </w:style>
  <w:style w:type="paragraph" w:styleId="Revision">
    <w:name w:val="Revision"/>
    <w:hidden/>
    <w:uiPriority w:val="99"/>
    <w:semiHidden/>
    <w:rsid w:val="00897AA5"/>
    <w:pPr>
      <w:spacing w:before="0"/>
    </w:pPr>
    <w:rPr>
      <w:rFonts w:ascii="Arial" w:hAnsi="Arial"/>
    </w:rPr>
  </w:style>
  <w:style w:type="character" w:styleId="FollowedHyperlink">
    <w:name w:val="FollowedHyperlink"/>
    <w:basedOn w:val="DefaultParagraphFont"/>
    <w:uiPriority w:val="99"/>
    <w:semiHidden/>
    <w:unhideWhenUsed/>
    <w:rsid w:val="00897AA5"/>
    <w:rPr>
      <w:color w:val="800080" w:themeColor="followedHyperlink"/>
      <w:u w:val="single"/>
    </w:rPr>
  </w:style>
  <w:style w:type="paragraph" w:styleId="NormalWeb">
    <w:name w:val="Normal (Web)"/>
    <w:basedOn w:val="Normal"/>
    <w:uiPriority w:val="99"/>
    <w:semiHidden/>
    <w:unhideWhenUsed/>
    <w:rsid w:val="00612BC8"/>
    <w:pPr>
      <w:spacing w:before="0" w:after="150" w:line="336" w:lineRule="atLeast"/>
      <w:ind w:right="225"/>
    </w:pPr>
    <w:rPr>
      <w:rFonts w:ascii="Verdana" w:eastAsia="Times New Roman" w:hAnsi="Verdana" w:cs="Times New Roman"/>
      <w:sz w:val="19"/>
      <w:szCs w:val="19"/>
      <w:lang w:eastAsia="en-AU"/>
    </w:rPr>
  </w:style>
  <w:style w:type="numbering" w:customStyle="1" w:styleId="Headings">
    <w:name w:val="Headings"/>
    <w:uiPriority w:val="99"/>
    <w:locked/>
    <w:rsid w:val="00FB0343"/>
    <w:pPr>
      <w:numPr>
        <w:numId w:val="29"/>
      </w:numPr>
    </w:pPr>
  </w:style>
  <w:style w:type="paragraph" w:customStyle="1" w:styleId="Default">
    <w:name w:val="Default"/>
    <w:rsid w:val="00A67967"/>
    <w:pPr>
      <w:autoSpaceDE w:val="0"/>
      <w:autoSpaceDN w:val="0"/>
      <w:adjustRightInd w:val="0"/>
      <w:spacing w:before="0"/>
    </w:pPr>
    <w:rPr>
      <w:rFonts w:ascii="Times New Roman" w:hAnsi="Times New Roman" w:cs="Times New Roman"/>
      <w:color w:val="000000"/>
      <w:sz w:val="24"/>
      <w:szCs w:val="24"/>
    </w:rPr>
  </w:style>
  <w:style w:type="table" w:customStyle="1" w:styleId="MediumGrid31">
    <w:name w:val="Medium Grid 31"/>
    <w:basedOn w:val="TableNormal"/>
    <w:next w:val="MediumGrid3"/>
    <w:uiPriority w:val="60"/>
    <w:rsid w:val="008A507A"/>
    <w:pPr>
      <w:spacing w:before="120" w:after="120"/>
    </w:pPr>
    <w:rPr>
      <w:rFonts w:ascii="Arial" w:eastAsia="Arial" w:hAnsi="Arial" w:cs="Times New Roman"/>
      <w:sz w:val="20"/>
      <w:szCs w:val="20"/>
      <w:lang w:eastAsia="en-AU"/>
    </w:rPr>
    <w:tblPr>
      <w:tblInd w:w="0" w:type="dxa"/>
      <w:tblBorders>
        <w:top w:val="single" w:sz="4" w:space="0" w:color="D5D6D2"/>
        <w:left w:val="single" w:sz="4" w:space="0" w:color="D5D6D2"/>
        <w:bottom w:val="single" w:sz="4" w:space="0" w:color="D5D6D2"/>
        <w:right w:val="single" w:sz="4" w:space="0" w:color="D5D6D2"/>
        <w:insideH w:val="single" w:sz="4" w:space="0" w:color="D5D6D2"/>
        <w:insideV w:val="single" w:sz="4" w:space="0" w:color="D5D6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Arial" w:hAnsi="Arial"/>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tcPr>
    </w:tblStylePr>
    <w:tblStylePr w:type="firstCol">
      <w:rPr>
        <w:b/>
        <w:bCs/>
        <w:sz w:val="20"/>
      </w:rPr>
    </w:tblStylePr>
    <w:tblStylePr w:type="lastCol">
      <w:rPr>
        <w:b/>
        <w:bCs/>
      </w:rPr>
    </w:tblStylePr>
  </w:style>
  <w:style w:type="paragraph" w:customStyle="1" w:styleId="Tablebullet">
    <w:name w:val="Table bullet"/>
    <w:basedOn w:val="Tabletext"/>
    <w:link w:val="TablebulletChar"/>
    <w:qFormat/>
    <w:rsid w:val="0038301A"/>
    <w:pPr>
      <w:numPr>
        <w:numId w:val="31"/>
      </w:numPr>
    </w:pPr>
  </w:style>
  <w:style w:type="character" w:customStyle="1" w:styleId="FootnoteChar">
    <w:name w:val="Footnote Char"/>
    <w:basedOn w:val="DefaultParagraphFont"/>
    <w:link w:val="Footnote"/>
    <w:rsid w:val="006F3A4C"/>
    <w:rPr>
      <w:rFonts w:cstheme="minorHAnsi"/>
      <w:sz w:val="16"/>
      <w:szCs w:val="20"/>
    </w:rPr>
  </w:style>
  <w:style w:type="character" w:customStyle="1" w:styleId="TablebulletChar">
    <w:name w:val="Table bullet Char"/>
    <w:basedOn w:val="TabletextChar"/>
    <w:link w:val="Tablebullet"/>
    <w:rsid w:val="0038301A"/>
    <w:rPr>
      <w:rFonts w:ascii="Arial" w:hAnsi="Arial"/>
      <w:sz w:val="20"/>
    </w:rPr>
  </w:style>
  <w:style w:type="character" w:customStyle="1" w:styleId="FootnoteTextChar">
    <w:name w:val="Footnote Text Char"/>
    <w:basedOn w:val="DefaultParagraphFont"/>
    <w:link w:val="FootnoteText"/>
    <w:uiPriority w:val="2"/>
    <w:rsid w:val="006F3A4C"/>
    <w:rPr>
      <w:rFonts w:ascii="Arial" w:hAnsi="Arial"/>
      <w:sz w:val="16"/>
      <w:szCs w:val="20"/>
    </w:rPr>
  </w:style>
  <w:style w:type="paragraph" w:customStyle="1" w:styleId="LoAtabbedtext">
    <w:name w:val="LoA tabbed text"/>
    <w:basedOn w:val="Normal"/>
    <w:uiPriority w:val="99"/>
    <w:rsid w:val="00F90601"/>
    <w:pPr>
      <w:widowControl w:val="0"/>
      <w:tabs>
        <w:tab w:val="left" w:pos="1134"/>
      </w:tabs>
      <w:suppressAutoHyphens/>
      <w:autoSpaceDE w:val="0"/>
      <w:autoSpaceDN w:val="0"/>
      <w:adjustRightInd w:val="0"/>
      <w:spacing w:before="113" w:line="220" w:lineRule="atLeast"/>
      <w:ind w:left="1134" w:hanging="1134"/>
      <w:textAlignment w:val="center"/>
    </w:pPr>
    <w:rPr>
      <w:rFonts w:ascii="Gotham-Light" w:eastAsia="Times New Roman" w:hAnsi="Gotham-Light" w:cs="Gotham-Light"/>
      <w:color w:val="000000"/>
      <w:spacing w:val="-4"/>
      <w:sz w:val="17"/>
      <w:szCs w:val="17"/>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BE257B"/>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3"/>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qFormat/>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CF3FFC"/>
    <w:pPr>
      <w:keepNext/>
      <w:pageBreakBefore/>
      <w:numPr>
        <w:numId w:val="30"/>
      </w:numPr>
      <w:ind w:left="680" w:hanging="680"/>
    </w:pPr>
    <w:rPr>
      <w:sz w:val="40"/>
    </w:rPr>
  </w:style>
  <w:style w:type="paragraph" w:customStyle="1" w:styleId="Numbered11">
    <w:name w:val="Numbered 1.1"/>
    <w:basedOn w:val="Heading2"/>
    <w:next w:val="Normal"/>
    <w:qFormat/>
    <w:rsid w:val="00CF3FFC"/>
    <w:pPr>
      <w:keepNext/>
      <w:numPr>
        <w:ilvl w:val="1"/>
        <w:numId w:val="30"/>
      </w:numPr>
      <w:ind w:left="680" w:hanging="680"/>
    </w:pPr>
    <w:rPr>
      <w:rFonts w:cs="Arial"/>
    </w:rPr>
  </w:style>
  <w:style w:type="paragraph" w:customStyle="1" w:styleId="Numbered111">
    <w:name w:val="Numbered 1.1.1"/>
    <w:basedOn w:val="Heading3"/>
    <w:next w:val="Normal"/>
    <w:qFormat/>
    <w:rsid w:val="00736EBA"/>
    <w:pPr>
      <w:keepNext/>
      <w:numPr>
        <w:ilvl w:val="2"/>
        <w:numId w:val="30"/>
      </w:numPr>
      <w:ind w:left="720"/>
      <w:contextualSpacing/>
    </w:pPr>
  </w:style>
  <w:style w:type="paragraph" w:customStyle="1" w:styleId="Numbered1111">
    <w:name w:val="Numbered 1.1.1.1"/>
    <w:basedOn w:val="Heading4"/>
    <w:next w:val="Normal"/>
    <w:rsid w:val="00F61B84"/>
    <w:pPr>
      <w:tabs>
        <w:tab w:val="left" w:pos="1361"/>
      </w:tabs>
    </w:pPr>
  </w:style>
  <w:style w:type="paragraph" w:customStyle="1" w:styleId="Numbered11111">
    <w:name w:val="Numbered 1.1.1.1.1"/>
    <w:basedOn w:val="Heading5"/>
    <w:next w:val="Normal"/>
    <w:uiPriority w:val="2"/>
    <w:rsid w:val="00F61B84"/>
    <w:pPr>
      <w:tabs>
        <w:tab w:val="left" w:pos="1701"/>
      </w:tabs>
    </w:pPr>
  </w:style>
  <w:style w:type="paragraph" w:customStyle="1" w:styleId="Numbered111111">
    <w:name w:val="Numbered 1.1.1.1.1.1"/>
    <w:basedOn w:val="Heading6"/>
    <w:next w:val="Normal"/>
    <w:uiPriority w:val="2"/>
    <w:rsid w:val="00F61B84"/>
    <w:pPr>
      <w:tabs>
        <w:tab w:val="left" w:pos="1701"/>
      </w:tabs>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DefaultParagraphFont"/>
    <w:link w:val="Pullquotetext"/>
    <w:uiPriority w:val="1"/>
    <w:rsid w:val="00565DE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Normal"/>
    <w:link w:val="FootnotesChar"/>
    <w:uiPriority w:val="4"/>
    <w:semiHidden/>
    <w:qFormat/>
    <w:rsid w:val="007654DA"/>
    <w:pPr>
      <w:tabs>
        <w:tab w:val="left" w:pos="340"/>
      </w:tabs>
      <w:spacing w:before="60"/>
      <w:ind w:left="340" w:hanging="340"/>
    </w:pPr>
    <w:rPr>
      <w:sz w:val="16"/>
      <w:szCs w:val="20"/>
    </w:rPr>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uiPriority w:val="99"/>
    <w:qFormat/>
    <w:rsid w:val="00DA47C0"/>
    <w:pPr>
      <w:numPr>
        <w:numId w:val="39"/>
      </w:numPr>
      <w:ind w:left="340" w:hanging="340"/>
    </w:pPr>
    <w:rPr>
      <w:rFonts w:cs="Times New Roman"/>
    </w:rPr>
  </w:style>
  <w:style w:type="paragraph" w:styleId="ListBullet">
    <w:name w:val="List Bullet"/>
    <w:basedOn w:val="Normal"/>
    <w:uiPriority w:val="99"/>
    <w:rsid w:val="00DC542F"/>
    <w:pPr>
      <w:numPr>
        <w:numId w:val="9"/>
      </w:numPr>
      <w:tabs>
        <w:tab w:val="left" w:pos="340"/>
      </w:tabs>
      <w:spacing w:before="120"/>
      <w:ind w:left="340" w:hanging="340"/>
    </w:pPr>
  </w:style>
  <w:style w:type="paragraph" w:customStyle="1" w:styleId="Bulletpoint2">
    <w:name w:val="Bullet point 2"/>
    <w:basedOn w:val="ListBullet2"/>
    <w:uiPriority w:val="1"/>
    <w:qFormat/>
    <w:rsid w:val="00A92837"/>
    <w:pPr>
      <w:numPr>
        <w:numId w:val="8"/>
      </w:numPr>
      <w:tabs>
        <w:tab w:val="left" w:pos="680"/>
      </w:tabs>
      <w:ind w:left="680" w:hanging="340"/>
    </w:pPr>
  </w:style>
  <w:style w:type="paragraph" w:styleId="ListNumber">
    <w:name w:val="List Number"/>
    <w:basedOn w:val="Normal"/>
    <w:uiPriority w:val="99"/>
    <w:rsid w:val="000F2368"/>
    <w:pPr>
      <w:numPr>
        <w:numId w:val="20"/>
      </w:numPr>
      <w:spacing w:before="120"/>
    </w:pPr>
    <w:rPr>
      <w:color w:val="000000" w:themeColor="text1" w:themeShade="BF"/>
    </w:rPr>
  </w:style>
  <w:style w:type="paragraph" w:styleId="ListBullet2">
    <w:name w:val="List Bullet 2"/>
    <w:basedOn w:val="Normal"/>
    <w:uiPriority w:val="99"/>
    <w:rsid w:val="00DC542F"/>
    <w:pPr>
      <w:numPr>
        <w:numId w:val="2"/>
      </w:numPr>
      <w:tabs>
        <w:tab w:val="clear" w:pos="643"/>
        <w:tab w:val="num" w:pos="680"/>
      </w:tabs>
      <w:spacing w:before="120"/>
      <w:ind w:left="680" w:hanging="340"/>
    </w:pPr>
  </w:style>
  <w:style w:type="paragraph" w:styleId="TOCHeading">
    <w:name w:val="TOC Heading"/>
    <w:aliases w:val="NCC 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1"/>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tabs>
        <w:tab w:val="left" w:pos="2041"/>
      </w:tabs>
    </w:pPr>
  </w:style>
  <w:style w:type="paragraph" w:customStyle="1" w:styleId="Numbered11111111">
    <w:name w:val="Numbered 1.1.1.1.1.1.1.1"/>
    <w:basedOn w:val="Heading8"/>
    <w:next w:val="Normal"/>
    <w:uiPriority w:val="2"/>
    <w:rsid w:val="00F61B84"/>
    <w:pPr>
      <w:tabs>
        <w:tab w:val="left" w:pos="2041"/>
      </w:tabs>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qFormat/>
    <w:rsid w:val="00E4674F"/>
    <w:rPr>
      <w:rFonts w:ascii="Lucida Fax" w:hAnsi="Lucida Fax"/>
      <w:color w:val="DC5034"/>
      <w:sz w:val="24"/>
      <w:szCs w:val="24"/>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99"/>
    <w:qFormat/>
    <w:rsid w:val="00701CAB"/>
    <w:rPr>
      <w:i/>
      <w:iCs/>
    </w:rPr>
  </w:style>
  <w:style w:type="paragraph" w:styleId="NormalIndent">
    <w:name w:val="Normal Indent"/>
    <w:basedOn w:val="Normal"/>
    <w:uiPriority w:val="1"/>
    <w:rsid w:val="00085663"/>
    <w:pPr>
      <w:ind w:left="720"/>
    </w:pPr>
  </w:style>
  <w:style w:type="paragraph" w:customStyle="1" w:styleId="Footnote">
    <w:name w:val="Footnote"/>
    <w:basedOn w:val="FootnoteText"/>
    <w:link w:val="FootnoteChar"/>
    <w:qFormat/>
    <w:rsid w:val="006F3A4C"/>
    <w:rPr>
      <w:rFonts w:asciiTheme="minorHAnsi" w:hAnsiTheme="minorHAnsi" w:cstheme="minorHAnsi"/>
    </w:rPr>
  </w:style>
  <w:style w:type="paragraph" w:styleId="FootnoteText">
    <w:name w:val="footnote text"/>
    <w:basedOn w:val="Normal"/>
    <w:link w:val="FootnoteTextChar"/>
    <w:uiPriority w:val="2"/>
    <w:qFormat/>
    <w:rsid w:val="006F3A4C"/>
    <w:pPr>
      <w:tabs>
        <w:tab w:val="left" w:pos="340"/>
      </w:tabs>
      <w:spacing w:before="60"/>
      <w:ind w:left="340" w:hanging="340"/>
    </w:pPr>
    <w:rPr>
      <w:sz w:val="16"/>
      <w:szCs w:val="20"/>
    </w:rPr>
  </w:style>
  <w:style w:type="character" w:styleId="FootnoteReference">
    <w:name w:val="footnote reference"/>
    <w:aliases w:val="(NECG) Footnote Reference"/>
    <w:basedOn w:val="DefaultParagraphFont"/>
    <w:uiPriority w:val="99"/>
    <w:unhideWhenUsed/>
    <w:qFormat/>
    <w:rsid w:val="00701CAB"/>
    <w:rPr>
      <w:vertAlign w:val="superscript"/>
    </w:rPr>
  </w:style>
  <w:style w:type="character" w:styleId="Strong">
    <w:name w:val="Strong"/>
    <w:basedOn w:val="DefaultParagraphFont"/>
    <w:uiPriority w:val="99"/>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numId w:val="0"/>
      </w:numPr>
      <w:tabs>
        <w:tab w:val="left" w:pos="2381"/>
      </w:tabs>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3"/>
      </w:numPr>
      <w:tabs>
        <w:tab w:val="clear" w:pos="926"/>
        <w:tab w:val="num" w:pos="1021"/>
      </w:tabs>
      <w:spacing w:before="120"/>
      <w:ind w:left="1020" w:hanging="340"/>
    </w:pPr>
  </w:style>
  <w:style w:type="paragraph" w:styleId="ListBullet4">
    <w:name w:val="List Bullet 4"/>
    <w:basedOn w:val="Normal"/>
    <w:uiPriority w:val="99"/>
    <w:rsid w:val="00547CCF"/>
    <w:pPr>
      <w:numPr>
        <w:numId w:val="4"/>
      </w:numPr>
      <w:tabs>
        <w:tab w:val="clear" w:pos="1209"/>
        <w:tab w:val="num" w:pos="1361"/>
      </w:tabs>
      <w:spacing w:before="120"/>
      <w:ind w:left="1361" w:hanging="340"/>
    </w:pPr>
  </w:style>
  <w:style w:type="paragraph" w:styleId="ListBullet5">
    <w:name w:val="List Bullet 5"/>
    <w:basedOn w:val="Normal"/>
    <w:uiPriority w:val="99"/>
    <w:rsid w:val="00547CCF"/>
    <w:pPr>
      <w:numPr>
        <w:numId w:val="5"/>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1"/>
      </w:numPr>
      <w:tabs>
        <w:tab w:val="left" w:pos="1021"/>
      </w:tabs>
      <w:spacing w:before="120"/>
    </w:pPr>
  </w:style>
  <w:style w:type="paragraph" w:styleId="ListNumber4">
    <w:name w:val="List Number 4"/>
    <w:basedOn w:val="Normal"/>
    <w:uiPriority w:val="99"/>
    <w:rsid w:val="00BE4C99"/>
    <w:pPr>
      <w:numPr>
        <w:numId w:val="6"/>
      </w:numPr>
      <w:tabs>
        <w:tab w:val="left" w:pos="1701"/>
      </w:tabs>
      <w:spacing w:before="120"/>
    </w:pPr>
  </w:style>
  <w:style w:type="paragraph" w:styleId="ListNumber5">
    <w:name w:val="List Number 5"/>
    <w:basedOn w:val="Normal"/>
    <w:uiPriority w:val="99"/>
    <w:rsid w:val="00BE4C99"/>
    <w:pPr>
      <w:numPr>
        <w:numId w:val="7"/>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uiPriority w:val="99"/>
    <w:rsid w:val="00063247"/>
    <w:pPr>
      <w:jc w:val="right"/>
    </w:pPr>
    <w:rPr>
      <w:rFonts w:eastAsia="Times New Roman" w:cs="Times New Roman"/>
      <w:szCs w:val="20"/>
    </w:rPr>
  </w:style>
  <w:style w:type="paragraph" w:customStyle="1" w:styleId="Tabletext-centred">
    <w:name w:val="Table text - centred"/>
    <w:basedOn w:val="Tabletext-right"/>
    <w:link w:val="Tabletext-centredChar"/>
    <w:uiPriority w:val="99"/>
    <w:rsid w:val="00063247"/>
    <w:pPr>
      <w:jc w:val="center"/>
    </w:pPr>
  </w:style>
  <w:style w:type="paragraph" w:customStyle="1" w:styleId="TableHeading-right">
    <w:name w:val="Table Heading - right"/>
    <w:basedOn w:val="Normal"/>
    <w:link w:val="TableHeading-rightChar"/>
    <w:rsid w:val="00D64AF7"/>
    <w:pPr>
      <w:tabs>
        <w:tab w:val="left" w:pos="680"/>
      </w:tabs>
      <w:spacing w:before="240"/>
      <w:ind w:left="680" w:hanging="680"/>
      <w:jc w:val="right"/>
      <w:outlineLvl w:val="0"/>
    </w:pPr>
    <w:rPr>
      <w:rFonts w:ascii="Lucida Fax" w:eastAsia="Times New Roman" w:hAnsi="Lucida Fax" w:cs="Times New Roman"/>
      <w:color w:val="51626F"/>
      <w:sz w:val="32"/>
      <w:szCs w:val="20"/>
    </w:rPr>
  </w:style>
  <w:style w:type="character" w:customStyle="1" w:styleId="Tabletext-rightChar">
    <w:name w:val="Table text - right Char"/>
    <w:basedOn w:val="TabletextChar"/>
    <w:link w:val="Tabletext-right"/>
    <w:uiPriority w:val="99"/>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rightChar">
    <w:name w:val="Table Heading - right Char"/>
    <w:basedOn w:val="DefaultParagraphFont"/>
    <w:link w:val="TableHeading-right"/>
    <w:rsid w:val="00D64AF7"/>
    <w:rPr>
      <w:rFonts w:ascii="Lucida Fax" w:eastAsia="Times New Roman" w:hAnsi="Lucida Fax" w:cs="Times New Roman"/>
      <w:color w:val="51626F"/>
      <w:sz w:val="32"/>
      <w:szCs w:val="20"/>
    </w:rPr>
  </w:style>
  <w:style w:type="character" w:customStyle="1" w:styleId="Tabletext-centredChar">
    <w:name w:val="Table text - centred Char"/>
    <w:basedOn w:val="Tabletext-rightChar"/>
    <w:link w:val="Tabletext-centred"/>
    <w:uiPriority w:val="99"/>
    <w:rsid w:val="00063247"/>
    <w:rPr>
      <w:rFonts w:ascii="Arial" w:eastAsia="Times New Roman" w:hAnsi="Arial" w:cs="Times New Roman"/>
      <w:sz w:val="20"/>
      <w:szCs w:val="20"/>
    </w:rPr>
  </w:style>
  <w:style w:type="paragraph" w:customStyle="1" w:styleId="TableHeading-centred">
    <w:name w:val="Table Heading - centred"/>
    <w:basedOn w:val="Normal"/>
    <w:rsid w:val="00D64AF7"/>
    <w:pPr>
      <w:tabs>
        <w:tab w:val="left" w:pos="680"/>
      </w:tabs>
      <w:spacing w:before="240"/>
      <w:ind w:left="680" w:hanging="680"/>
      <w:jc w:val="center"/>
      <w:outlineLvl w:val="0"/>
    </w:pPr>
    <w:rPr>
      <w:rFonts w:ascii="Lucida Fax" w:eastAsia="Times New Roman" w:hAnsi="Lucida Fax" w:cs="Times New Roman"/>
      <w:color w:val="51626F"/>
      <w:sz w:val="32"/>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outlineLvl w:val="9"/>
    </w:pPr>
    <w:rPr>
      <w:b w:val="0"/>
      <w:bCs w:val="0"/>
      <w:color w:val="auto"/>
      <w:sz w:val="22"/>
    </w:rPr>
  </w:style>
  <w:style w:type="character" w:customStyle="1" w:styleId="Numbered1Char">
    <w:name w:val="Numbered 1 Char"/>
    <w:basedOn w:val="Heading1Char"/>
    <w:link w:val="Numbered1"/>
    <w:rsid w:val="00CF3FFC"/>
    <w:rPr>
      <w:rFonts w:ascii="Lucida Fax" w:eastAsiaTheme="majorEastAsia" w:hAnsi="Lucida Fax" w:cstheme="majorBidi"/>
      <w:bCs/>
      <w:color w:val="51626F"/>
      <w:sz w:val="40"/>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0"/>
      </w:numPr>
      <w:tabs>
        <w:tab w:val="left" w:pos="680"/>
      </w:tabs>
      <w:spacing w:before="120"/>
    </w:pPr>
    <w:rPr>
      <w:rFonts w:ascii="Arial" w:hAnsi="Arial"/>
    </w:rPr>
  </w:style>
  <w:style w:type="paragraph" w:customStyle="1" w:styleId="Listalphabet3">
    <w:name w:val="List alphabet 3"/>
    <w:rsid w:val="00CF799E"/>
    <w:pPr>
      <w:numPr>
        <w:numId w:val="16"/>
      </w:numPr>
      <w:tabs>
        <w:tab w:val="left" w:pos="1021"/>
      </w:tabs>
      <w:spacing w:before="120"/>
    </w:pPr>
    <w:rPr>
      <w:rFonts w:ascii="Arial" w:hAnsi="Arial"/>
    </w:rPr>
  </w:style>
  <w:style w:type="paragraph" w:customStyle="1" w:styleId="Listalphabet4">
    <w:name w:val="List alphabet 4"/>
    <w:rsid w:val="00CF799E"/>
    <w:pPr>
      <w:numPr>
        <w:numId w:val="17"/>
      </w:numPr>
      <w:tabs>
        <w:tab w:val="left" w:pos="1361"/>
      </w:tabs>
      <w:spacing w:before="120"/>
    </w:pPr>
    <w:rPr>
      <w:rFonts w:ascii="Arial" w:hAnsi="Arial"/>
    </w:rPr>
  </w:style>
  <w:style w:type="paragraph" w:customStyle="1" w:styleId="Listalphabet5">
    <w:name w:val="List alphabet 5"/>
    <w:rsid w:val="00CF799E"/>
    <w:pPr>
      <w:numPr>
        <w:numId w:val="18"/>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19"/>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6708B5"/>
    <w:pPr>
      <w:numPr>
        <w:numId w:val="24"/>
      </w:numPr>
      <w:tabs>
        <w:tab w:val="clear" w:pos="340"/>
        <w:tab w:val="left" w:pos="680"/>
      </w:tabs>
    </w:pPr>
  </w:style>
  <w:style w:type="paragraph" w:customStyle="1" w:styleId="ListLegal2">
    <w:name w:val="List Legal 2"/>
    <w:basedOn w:val="ListLegal"/>
    <w:rsid w:val="00C06739"/>
    <w:pPr>
      <w:numPr>
        <w:numId w:val="13"/>
      </w:numPr>
      <w:tabs>
        <w:tab w:val="clear" w:pos="680"/>
        <w:tab w:val="left" w:pos="1021"/>
      </w:tabs>
    </w:pPr>
  </w:style>
  <w:style w:type="paragraph" w:customStyle="1" w:styleId="ListLegal3">
    <w:name w:val="List Legal 3"/>
    <w:basedOn w:val="ListNumber3"/>
    <w:rsid w:val="00CF799E"/>
    <w:pPr>
      <w:numPr>
        <w:numId w:val="12"/>
      </w:numPr>
      <w:tabs>
        <w:tab w:val="clear" w:pos="1021"/>
        <w:tab w:val="left" w:pos="1361"/>
      </w:tabs>
    </w:pPr>
  </w:style>
  <w:style w:type="paragraph" w:customStyle="1" w:styleId="ListLegal4">
    <w:name w:val="List Legal 4"/>
    <w:basedOn w:val="ListLegal3"/>
    <w:rsid w:val="00CF799E"/>
    <w:pPr>
      <w:numPr>
        <w:numId w:val="14"/>
      </w:numPr>
      <w:tabs>
        <w:tab w:val="clear" w:pos="1361"/>
        <w:tab w:val="left" w:pos="1701"/>
      </w:tabs>
    </w:pPr>
  </w:style>
  <w:style w:type="paragraph" w:customStyle="1" w:styleId="ListLegal5">
    <w:name w:val="List Legal 5"/>
    <w:basedOn w:val="ListLegal4"/>
    <w:rsid w:val="000F2368"/>
    <w:pPr>
      <w:numPr>
        <w:numId w:val="22"/>
      </w:numPr>
      <w:tabs>
        <w:tab w:val="clear" w:pos="1701"/>
        <w:tab w:val="left" w:pos="2041"/>
      </w:tabs>
    </w:pPr>
  </w:style>
  <w:style w:type="paragraph" w:customStyle="1" w:styleId="LegalNumbering">
    <w:name w:val="Legal Numbering"/>
    <w:basedOn w:val="Normal"/>
    <w:qFormat/>
    <w:rsid w:val="0002115F"/>
    <w:pPr>
      <w:numPr>
        <w:numId w:val="15"/>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687F39"/>
    <w:pPr>
      <w:spacing w:before="120" w:after="120"/>
    </w:pPr>
    <w:rPr>
      <w:color w:val="000000" w:themeColor="text1" w:themeShade="BF"/>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numbering" w:customStyle="1" w:styleId="Copyrightbullet">
    <w:name w:val="Copyright bullet"/>
    <w:basedOn w:val="NoList"/>
    <w:rsid w:val="00A54873"/>
    <w:pPr>
      <w:numPr>
        <w:numId w:val="25"/>
      </w:numPr>
    </w:pPr>
  </w:style>
  <w:style w:type="paragraph" w:customStyle="1" w:styleId="TOCHeading1">
    <w:name w:val="TOC Heading1"/>
    <w:basedOn w:val="Normal"/>
    <w:next w:val="Normal"/>
    <w:uiPriority w:val="39"/>
    <w:qFormat/>
    <w:rsid w:val="00DC36B0"/>
    <w:pPr>
      <w:spacing w:before="480" w:after="120" w:line="276" w:lineRule="auto"/>
    </w:pPr>
    <w:rPr>
      <w:rFonts w:ascii="Lucida Fax" w:eastAsia="Times New Roman" w:hAnsi="Lucida Fax" w:cs="Times New Roman"/>
      <w:bCs/>
      <w:color w:val="51626F"/>
      <w:sz w:val="32"/>
      <w:szCs w:val="28"/>
      <w:lang w:val="en-US" w:eastAsia="ja-JP"/>
    </w:rPr>
  </w:style>
  <w:style w:type="table" w:styleId="MediumGrid3">
    <w:name w:val="Medium Grid 3"/>
    <w:basedOn w:val="TableNormal"/>
    <w:uiPriority w:val="60"/>
    <w:rsid w:val="00DC36B0"/>
    <w:pPr>
      <w:spacing w:before="120" w:after="120"/>
    </w:pPr>
    <w:rPr>
      <w:rFonts w:ascii="Arial" w:eastAsia="Arial" w:hAnsi="Arial" w:cs="Times New Roman"/>
      <w:sz w:val="20"/>
      <w:szCs w:val="20"/>
      <w:lang w:eastAsia="en-AU"/>
    </w:rPr>
    <w:tblPr>
      <w:tblInd w:w="0" w:type="dxa"/>
      <w:tblBorders>
        <w:top w:val="single" w:sz="4" w:space="0" w:color="D5D6D2"/>
        <w:left w:val="single" w:sz="4" w:space="0" w:color="D5D6D2"/>
        <w:bottom w:val="single" w:sz="4" w:space="0" w:color="D5D6D2"/>
        <w:right w:val="single" w:sz="4" w:space="0" w:color="D5D6D2"/>
        <w:insideH w:val="single" w:sz="4" w:space="0" w:color="D5D6D2"/>
        <w:insideV w:val="single" w:sz="4" w:space="0" w:color="D5D6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Arial" w:hAnsi="Arial"/>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tcPr>
    </w:tblStylePr>
    <w:tblStylePr w:type="firstCol">
      <w:rPr>
        <w:b/>
        <w:bCs/>
        <w:sz w:val="20"/>
      </w:rPr>
    </w:tblStylePr>
    <w:tblStylePr w:type="lastCol">
      <w:rPr>
        <w:b/>
        <w:bCs/>
      </w:rPr>
    </w:tblStylePr>
  </w:style>
  <w:style w:type="table" w:customStyle="1" w:styleId="IntenseQuote1">
    <w:name w:val="Intense Quote1"/>
    <w:basedOn w:val="TableNormal"/>
    <w:uiPriority w:val="60"/>
    <w:qFormat/>
    <w:rsid w:val="00DC36B0"/>
    <w:pPr>
      <w:spacing w:before="0"/>
    </w:pPr>
    <w:rPr>
      <w:rFonts w:ascii="Arial" w:eastAsia="Arial" w:hAnsi="Arial" w:cs="Times New Roman"/>
      <w:color w:val="3C4953"/>
      <w:sz w:val="20"/>
      <w:szCs w:val="20"/>
      <w:lang w:eastAsia="en-AU"/>
    </w:rPr>
    <w:tblPr>
      <w:tblStyleRowBandSize w:val="1"/>
      <w:tblStyleColBandSize w:val="1"/>
      <w:tblInd w:w="0" w:type="dxa"/>
      <w:tblBorders>
        <w:top w:val="single" w:sz="8" w:space="0" w:color="51626F"/>
        <w:bottom w:val="single" w:sz="8" w:space="0" w:color="51626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la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cPr>
    </w:tblStylePr>
    <w:tblStylePr w:type="band1Horz">
      <w:tblPr/>
      <w:tcPr>
        <w:tcBorders>
          <w:left w:val="nil"/>
          <w:right w:val="nil"/>
          <w:insideH w:val="nil"/>
          <w:insideV w:val="nil"/>
        </w:tcBorders>
        <w:shd w:val="clear" w:color="auto" w:fill="D1D8DD"/>
      </w:tcPr>
    </w:tblStylePr>
  </w:style>
  <w:style w:type="table" w:styleId="MediumGrid3-Accent2">
    <w:name w:val="Medium Grid 3 Accent 2"/>
    <w:basedOn w:val="TableNormal"/>
    <w:uiPriority w:val="60"/>
    <w:rsid w:val="00DC36B0"/>
    <w:pPr>
      <w:spacing w:before="0"/>
    </w:pPr>
    <w:rPr>
      <w:rFonts w:ascii="Arial" w:eastAsia="Arial" w:hAnsi="Arial" w:cs="Times New Roman"/>
      <w:color w:val="000000"/>
      <w:sz w:val="20"/>
      <w:szCs w:val="20"/>
      <w:lang w:eastAsia="en-AU"/>
    </w:rPr>
    <w:tblPr>
      <w:tblInd w:w="0" w:type="dxa"/>
      <w:tblBorders>
        <w:top w:val="single" w:sz="4" w:space="0" w:color="B71202"/>
        <w:left w:val="single" w:sz="4" w:space="0" w:color="B71202"/>
        <w:bottom w:val="single" w:sz="4" w:space="0" w:color="B71202"/>
        <w:right w:val="single" w:sz="4" w:space="0" w:color="B71202"/>
        <w:insideH w:val="single" w:sz="4" w:space="0" w:color="B71202"/>
        <w:insideV w:val="single" w:sz="4" w:space="0" w:color="B71202"/>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l2br w:val="nil"/>
          <w:tr2bl w:val="nil"/>
        </w:tcBorders>
      </w:tcPr>
    </w:tblStylePr>
    <w:tblStylePr w:type="la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cBorders>
      </w:tcPr>
    </w:tblStylePr>
    <w:tblStylePr w:type="firstCol">
      <w:rPr>
        <w:b w:val="0"/>
        <w:bCs/>
      </w:rPr>
    </w:tblStylePr>
    <w:tblStylePr w:type="lastCol">
      <w:rPr>
        <w:b w:val="0"/>
        <w:bCs/>
      </w:rPr>
    </w:tblStylePr>
  </w:style>
  <w:style w:type="table" w:styleId="MediumGrid3-Accent3">
    <w:name w:val="Medium Grid 3 Accent 3"/>
    <w:basedOn w:val="TableNormal"/>
    <w:uiPriority w:val="60"/>
    <w:rsid w:val="00DC36B0"/>
    <w:pPr>
      <w:spacing w:before="0"/>
    </w:pPr>
    <w:rPr>
      <w:rFonts w:ascii="Arial" w:eastAsia="Arial" w:hAnsi="Arial" w:cs="Times New Roman"/>
      <w:color w:val="007192"/>
      <w:sz w:val="20"/>
      <w:szCs w:val="20"/>
      <w:lang w:eastAsia="en-AU"/>
    </w:rPr>
    <w:tblPr>
      <w:tblStyleRowBandSize w:val="1"/>
      <w:tblStyleColBandSize w:val="1"/>
      <w:tblInd w:w="0" w:type="dxa"/>
      <w:tblBorders>
        <w:top w:val="single" w:sz="8" w:space="0" w:color="0098C3"/>
        <w:bottom w:val="single" w:sz="8" w:space="0" w:color="0098C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la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cPr>
    </w:tblStylePr>
    <w:tblStylePr w:type="band1Horz">
      <w:tblPr/>
      <w:tcPr>
        <w:tcBorders>
          <w:left w:val="nil"/>
          <w:right w:val="nil"/>
          <w:insideH w:val="nil"/>
          <w:insideV w:val="nil"/>
        </w:tcBorders>
        <w:shd w:val="clear" w:color="auto" w:fill="B1EDFF"/>
      </w:tcPr>
    </w:tblStylePr>
  </w:style>
  <w:style w:type="table" w:styleId="ColorfulShading-Accent6">
    <w:name w:val="Colorful Shading Accent 6"/>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DC5034"/>
        <w:left w:val="single" w:sz="8" w:space="0" w:color="DC5034"/>
        <w:bottom w:val="single" w:sz="8" w:space="0" w:color="DC5034"/>
        <w:right w:val="single" w:sz="8" w:space="0" w:color="DC5034"/>
        <w:insideH w:val="single" w:sz="8" w:space="0" w:color="DC5034"/>
        <w:insideV w:val="single" w:sz="8" w:space="0" w:color="DC5034"/>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DC5034"/>
          <w:left w:val="single" w:sz="8" w:space="0" w:color="DC5034"/>
          <w:bottom w:val="single" w:sz="18" w:space="0" w:color="DC5034"/>
          <w:right w:val="single" w:sz="8" w:space="0" w:color="DC5034"/>
          <w:insideH w:val="nil"/>
          <w:insideV w:val="single" w:sz="8" w:space="0" w:color="DC5034"/>
        </w:tcBorders>
      </w:tcPr>
    </w:tblStylePr>
    <w:tblStylePr w:type="lastRow">
      <w:pPr>
        <w:spacing w:before="0" w:after="0" w:line="240" w:lineRule="auto"/>
      </w:pPr>
      <w:rPr>
        <w:rFonts w:ascii="MS Mincho" w:eastAsia="Times New Roman" w:hAnsi="MS Mincho" w:cs="Times New Roman"/>
        <w:b/>
        <w:bCs/>
      </w:rPr>
      <w:tblPr/>
      <w:tcPr>
        <w:tcBorders>
          <w:top w:val="double" w:sz="6" w:space="0" w:color="DC5034"/>
          <w:left w:val="single" w:sz="8" w:space="0" w:color="DC5034"/>
          <w:bottom w:val="single" w:sz="8" w:space="0" w:color="DC5034"/>
          <w:right w:val="single" w:sz="8" w:space="0" w:color="DC5034"/>
          <w:insideH w:val="nil"/>
          <w:insideV w:val="single" w:sz="8" w:space="0" w:color="DC5034"/>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DC5034"/>
          <w:left w:val="single" w:sz="8" w:space="0" w:color="DC5034"/>
          <w:bottom w:val="single" w:sz="8" w:space="0" w:color="DC5034"/>
          <w:right w:val="single" w:sz="8" w:space="0" w:color="DC5034"/>
        </w:tcBorders>
      </w:tcPr>
    </w:tblStylePr>
    <w:tblStylePr w:type="band1Vert">
      <w:tblPr/>
      <w:tcPr>
        <w:tcBorders>
          <w:top w:val="single" w:sz="8" w:space="0" w:color="DC5034"/>
          <w:left w:val="single" w:sz="8" w:space="0" w:color="DC5034"/>
          <w:bottom w:val="single" w:sz="8" w:space="0" w:color="DC5034"/>
          <w:right w:val="single" w:sz="8" w:space="0" w:color="DC5034"/>
        </w:tcBorders>
        <w:shd w:val="clear" w:color="auto" w:fill="F6D3CC"/>
      </w:tcPr>
    </w:tblStylePr>
    <w:tblStylePr w:type="band1Horz">
      <w:tblPr/>
      <w:tcPr>
        <w:tcBorders>
          <w:top w:val="single" w:sz="8" w:space="0" w:color="DC5034"/>
          <w:left w:val="single" w:sz="8" w:space="0" w:color="DC5034"/>
          <w:bottom w:val="single" w:sz="8" w:space="0" w:color="DC5034"/>
          <w:right w:val="single" w:sz="8" w:space="0" w:color="DC5034"/>
          <w:insideV w:val="single" w:sz="8" w:space="0" w:color="DC5034"/>
        </w:tcBorders>
        <w:shd w:val="clear" w:color="auto" w:fill="F6D3CC"/>
      </w:tcPr>
    </w:tblStylePr>
    <w:tblStylePr w:type="band2Horz">
      <w:tblPr/>
      <w:tcPr>
        <w:tcBorders>
          <w:top w:val="single" w:sz="8" w:space="0" w:color="DC5034"/>
          <w:left w:val="single" w:sz="8" w:space="0" w:color="DC5034"/>
          <w:bottom w:val="single" w:sz="8" w:space="0" w:color="DC5034"/>
          <w:right w:val="single" w:sz="8" w:space="0" w:color="DC5034"/>
          <w:insideV w:val="single" w:sz="8" w:space="0" w:color="DC5034"/>
        </w:tcBorders>
      </w:tcPr>
    </w:tblStylePr>
  </w:style>
  <w:style w:type="table" w:styleId="ColorfulList">
    <w:name w:val="Colorful List"/>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758A9A"/>
        <w:left w:val="single" w:sz="8" w:space="0" w:color="758A9A"/>
        <w:bottom w:val="single" w:sz="8" w:space="0" w:color="758A9A"/>
        <w:right w:val="single" w:sz="8" w:space="0" w:color="758A9A"/>
        <w:insideH w:val="single" w:sz="8" w:space="0" w:color="758A9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58A9A"/>
          <w:left w:val="single" w:sz="8" w:space="0" w:color="758A9A"/>
          <w:bottom w:val="single" w:sz="8" w:space="0" w:color="758A9A"/>
          <w:right w:val="single" w:sz="8" w:space="0" w:color="758A9A"/>
          <w:insideH w:val="nil"/>
          <w:insideV w:val="nil"/>
        </w:tcBorders>
        <w:shd w:val="clear" w:color="auto" w:fill="51626F"/>
      </w:tcPr>
    </w:tblStylePr>
    <w:tblStylePr w:type="lastRow">
      <w:pPr>
        <w:spacing w:before="0" w:after="0" w:line="240" w:lineRule="auto"/>
      </w:pPr>
      <w:rPr>
        <w:b/>
        <w:bCs/>
      </w:rPr>
      <w:tblPr/>
      <w:tcPr>
        <w:tcBorders>
          <w:top w:val="double" w:sz="6" w:space="0" w:color="758A9A"/>
          <w:left w:val="single" w:sz="8" w:space="0" w:color="758A9A"/>
          <w:bottom w:val="single" w:sz="8" w:space="0" w:color="758A9A"/>
          <w:right w:val="single" w:sz="8" w:space="0" w:color="758A9A"/>
          <w:insideH w:val="nil"/>
          <w:insideV w:val="nil"/>
        </w:tcBorders>
      </w:tcPr>
    </w:tblStylePr>
    <w:tblStylePr w:type="firstCol">
      <w:rPr>
        <w:b/>
        <w:bCs/>
      </w:rPr>
    </w:tblStylePr>
    <w:tblStylePr w:type="lastCol">
      <w:rPr>
        <w:b/>
        <w:bCs/>
      </w:rPr>
    </w:tblStylePr>
    <w:tblStylePr w:type="band1Vert">
      <w:tblPr/>
      <w:tcPr>
        <w:shd w:val="clear" w:color="auto" w:fill="D1D8DD"/>
      </w:tcPr>
    </w:tblStylePr>
    <w:tblStylePr w:type="band1Horz">
      <w:tblPr/>
      <w:tcPr>
        <w:tcBorders>
          <w:insideH w:val="nil"/>
          <w:insideV w:val="nil"/>
        </w:tcBorders>
        <w:shd w:val="clear" w:color="auto" w:fill="D1D8DD"/>
      </w:tcPr>
    </w:tblStylePr>
    <w:tblStylePr w:type="band2Horz">
      <w:tblPr/>
      <w:tcPr>
        <w:tcBorders>
          <w:insideH w:val="nil"/>
          <w:insideV w:val="nil"/>
        </w:tcBorders>
      </w:tcPr>
    </w:tblStylePr>
  </w:style>
  <w:style w:type="table" w:styleId="ColorfulList-Accent2">
    <w:name w:val="Colorful List Accent 2"/>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7643BB"/>
        <w:left w:val="single" w:sz="8" w:space="0" w:color="7643BB"/>
        <w:bottom w:val="single" w:sz="8" w:space="0" w:color="7643BB"/>
        <w:right w:val="single" w:sz="8" w:space="0" w:color="7643BB"/>
        <w:insideH w:val="single" w:sz="8" w:space="0" w:color="7643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643BB"/>
          <w:left w:val="single" w:sz="8" w:space="0" w:color="7643BB"/>
          <w:bottom w:val="single" w:sz="8" w:space="0" w:color="7643BB"/>
          <w:right w:val="single" w:sz="8" w:space="0" w:color="7643BB"/>
          <w:insideH w:val="nil"/>
          <w:insideV w:val="nil"/>
        </w:tcBorders>
        <w:shd w:val="clear" w:color="auto" w:fill="4F2D7D"/>
      </w:tcPr>
    </w:tblStylePr>
    <w:tblStylePr w:type="lastRow">
      <w:pPr>
        <w:spacing w:before="0" w:after="0" w:line="240" w:lineRule="auto"/>
      </w:pPr>
      <w:rPr>
        <w:b/>
        <w:bCs/>
      </w:rPr>
      <w:tblPr/>
      <w:tcPr>
        <w:tcBorders>
          <w:top w:val="double" w:sz="6" w:space="0" w:color="7643BB"/>
          <w:left w:val="single" w:sz="8" w:space="0" w:color="7643BB"/>
          <w:bottom w:val="single" w:sz="8" w:space="0" w:color="7643BB"/>
          <w:right w:val="single" w:sz="8" w:space="0" w:color="7643BB"/>
          <w:insideH w:val="nil"/>
          <w:insideV w:val="nil"/>
        </w:tcBorders>
      </w:tcPr>
    </w:tblStylePr>
    <w:tblStylePr w:type="firstCol">
      <w:rPr>
        <w:b/>
        <w:bCs/>
      </w:rPr>
    </w:tblStylePr>
    <w:tblStylePr w:type="lastCol">
      <w:rPr>
        <w:b/>
        <w:bCs/>
      </w:rPr>
    </w:tblStylePr>
    <w:tblStylePr w:type="band1Vert">
      <w:tblPr/>
      <w:tcPr>
        <w:shd w:val="clear" w:color="auto" w:fill="D1C1E8"/>
      </w:tcPr>
    </w:tblStylePr>
    <w:tblStylePr w:type="band1Horz">
      <w:tblPr/>
      <w:tcPr>
        <w:tcBorders>
          <w:insideH w:val="nil"/>
          <w:insideV w:val="nil"/>
        </w:tcBorders>
        <w:shd w:val="clear" w:color="auto" w:fill="D1C1E8"/>
      </w:tcPr>
    </w:tblStylePr>
    <w:tblStylePr w:type="band2Horz">
      <w:tblPr/>
      <w:tcPr>
        <w:tcBorders>
          <w:insideH w:val="nil"/>
          <w:insideV w:val="nil"/>
        </w:tcBorders>
      </w:tcPr>
    </w:tblStylePr>
  </w:style>
  <w:style w:type="table" w:styleId="ColorfulList-Accent3">
    <w:name w:val="Colorful List Accent 3"/>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13CAFF"/>
        <w:left w:val="single" w:sz="8" w:space="0" w:color="13CAFF"/>
        <w:bottom w:val="single" w:sz="8" w:space="0" w:color="13CAFF"/>
        <w:right w:val="single" w:sz="8" w:space="0" w:color="13CAFF"/>
        <w:insideH w:val="single" w:sz="8" w:space="0" w:color="13CAF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13CAFF"/>
          <w:left w:val="single" w:sz="8" w:space="0" w:color="13CAFF"/>
          <w:bottom w:val="single" w:sz="8" w:space="0" w:color="13CAFF"/>
          <w:right w:val="single" w:sz="8" w:space="0" w:color="13CAFF"/>
          <w:insideH w:val="nil"/>
          <w:insideV w:val="nil"/>
        </w:tcBorders>
        <w:shd w:val="clear" w:color="auto" w:fill="0098C3"/>
      </w:tcPr>
    </w:tblStylePr>
    <w:tblStylePr w:type="lastRow">
      <w:pPr>
        <w:spacing w:before="0" w:after="0" w:line="240" w:lineRule="auto"/>
      </w:pPr>
      <w:rPr>
        <w:b/>
        <w:bCs/>
      </w:rPr>
      <w:tblPr/>
      <w:tcPr>
        <w:tcBorders>
          <w:top w:val="double" w:sz="6" w:space="0" w:color="13CAFF"/>
          <w:left w:val="single" w:sz="8" w:space="0" w:color="13CAFF"/>
          <w:bottom w:val="single" w:sz="8" w:space="0" w:color="13CAFF"/>
          <w:right w:val="single" w:sz="8" w:space="0" w:color="13CAFF"/>
          <w:insideH w:val="nil"/>
          <w:insideV w:val="nil"/>
        </w:tcBorders>
      </w:tcPr>
    </w:tblStylePr>
    <w:tblStylePr w:type="firstCol">
      <w:rPr>
        <w:b/>
        <w:bCs/>
      </w:rPr>
    </w:tblStylePr>
    <w:tblStylePr w:type="lastCol">
      <w:rPr>
        <w:b/>
        <w:bCs/>
      </w:rPr>
    </w:tblStylePr>
    <w:tblStylePr w:type="band1Vert">
      <w:tblPr/>
      <w:tcPr>
        <w:shd w:val="clear" w:color="auto" w:fill="B1EDFF"/>
      </w:tcPr>
    </w:tblStylePr>
    <w:tblStylePr w:type="band1Horz">
      <w:tblPr/>
      <w:tcPr>
        <w:tcBorders>
          <w:insideH w:val="nil"/>
          <w:insideV w:val="nil"/>
        </w:tcBorders>
        <w:shd w:val="clear" w:color="auto" w:fill="B1EDFF"/>
      </w:tcPr>
    </w:tblStylePr>
    <w:tblStylePr w:type="band2Horz">
      <w:tblPr/>
      <w:tcPr>
        <w:tcBorders>
          <w:insideH w:val="nil"/>
          <w:insideV w:val="nil"/>
        </w:tcBorders>
      </w:tcPr>
    </w:tblStylePr>
  </w:style>
  <w:style w:type="table" w:styleId="ColorfulList-Accent4">
    <w:name w:val="Colorful List Accent 4"/>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B7DAF0"/>
        <w:left w:val="single" w:sz="8" w:space="0" w:color="B7DAF0"/>
        <w:bottom w:val="single" w:sz="8" w:space="0" w:color="B7DAF0"/>
        <w:right w:val="single" w:sz="8" w:space="0" w:color="B7DAF0"/>
        <w:insideH w:val="single" w:sz="8" w:space="0" w:color="B7DAF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7DAF0"/>
          <w:left w:val="single" w:sz="8" w:space="0" w:color="B7DAF0"/>
          <w:bottom w:val="single" w:sz="8" w:space="0" w:color="B7DAF0"/>
          <w:right w:val="single" w:sz="8" w:space="0" w:color="B7DAF0"/>
          <w:insideH w:val="nil"/>
          <w:insideV w:val="nil"/>
        </w:tcBorders>
        <w:shd w:val="clear" w:color="auto" w:fill="A0CFEB"/>
      </w:tcPr>
    </w:tblStylePr>
    <w:tblStylePr w:type="lastRow">
      <w:pPr>
        <w:spacing w:before="0" w:after="0" w:line="240" w:lineRule="auto"/>
      </w:pPr>
      <w:rPr>
        <w:b/>
        <w:bCs/>
      </w:rPr>
      <w:tblPr/>
      <w:tcPr>
        <w:tcBorders>
          <w:top w:val="double" w:sz="6" w:space="0" w:color="B7DAF0"/>
          <w:left w:val="single" w:sz="8" w:space="0" w:color="B7DAF0"/>
          <w:bottom w:val="single" w:sz="8" w:space="0" w:color="B7DAF0"/>
          <w:right w:val="single" w:sz="8" w:space="0" w:color="B7DAF0"/>
          <w:insideH w:val="nil"/>
          <w:insideV w:val="nil"/>
        </w:tcBorders>
      </w:tcPr>
    </w:tblStylePr>
    <w:tblStylePr w:type="firstCol">
      <w:rPr>
        <w:b/>
        <w:bCs/>
      </w:rPr>
    </w:tblStylePr>
    <w:tblStylePr w:type="lastCol">
      <w:rPr>
        <w:b/>
        <w:bCs/>
      </w:rPr>
    </w:tblStylePr>
    <w:tblStylePr w:type="band1Vert">
      <w:tblPr/>
      <w:tcPr>
        <w:shd w:val="clear" w:color="auto" w:fill="E7F3FA"/>
      </w:tcPr>
    </w:tblStylePr>
    <w:tblStylePr w:type="band1Horz">
      <w:tblPr/>
      <w:tcPr>
        <w:tcBorders>
          <w:insideH w:val="nil"/>
          <w:insideV w:val="nil"/>
        </w:tcBorders>
        <w:shd w:val="clear" w:color="auto" w:fill="E7F3FA"/>
      </w:tcPr>
    </w:tblStylePr>
    <w:tblStylePr w:type="band2Horz">
      <w:tblPr/>
      <w:tcPr>
        <w:tcBorders>
          <w:insideH w:val="nil"/>
          <w:insideV w:val="nil"/>
        </w:tcBorders>
      </w:tcPr>
    </w:tblStylePr>
  </w:style>
  <w:style w:type="table" w:styleId="ColorfulList-Accent5">
    <w:name w:val="Colorful List Accent 5"/>
    <w:basedOn w:val="TableNormal"/>
    <w:uiPriority w:val="63"/>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FC220E"/>
        <w:left w:val="single" w:sz="8" w:space="0" w:color="FC220E"/>
        <w:bottom w:val="single" w:sz="8" w:space="0" w:color="FC220E"/>
        <w:right w:val="single" w:sz="8" w:space="0" w:color="FC220E"/>
        <w:insideH w:val="single" w:sz="8" w:space="0" w:color="FC220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C220E"/>
          <w:left w:val="single" w:sz="8" w:space="0" w:color="FC220E"/>
          <w:bottom w:val="single" w:sz="8" w:space="0" w:color="FC220E"/>
          <w:right w:val="single" w:sz="8" w:space="0" w:color="FC220E"/>
          <w:insideH w:val="nil"/>
          <w:insideV w:val="nil"/>
        </w:tcBorders>
        <w:shd w:val="clear" w:color="auto" w:fill="B71202"/>
      </w:tcPr>
    </w:tblStylePr>
    <w:tblStylePr w:type="lastRow">
      <w:pPr>
        <w:spacing w:before="0" w:after="0" w:line="240" w:lineRule="auto"/>
      </w:pPr>
      <w:rPr>
        <w:b/>
        <w:bCs/>
      </w:rPr>
      <w:tblPr/>
      <w:tcPr>
        <w:tcBorders>
          <w:top w:val="double" w:sz="6" w:space="0" w:color="FC220E"/>
          <w:left w:val="single" w:sz="8" w:space="0" w:color="FC220E"/>
          <w:bottom w:val="single" w:sz="8" w:space="0" w:color="FC220E"/>
          <w:right w:val="single" w:sz="8" w:space="0" w:color="FC220E"/>
          <w:insideH w:val="nil"/>
          <w:insideV w:val="nil"/>
        </w:tcBorders>
      </w:tcPr>
    </w:tblStylePr>
    <w:tblStylePr w:type="firstCol">
      <w:rPr>
        <w:b/>
        <w:bCs/>
      </w:rPr>
    </w:tblStylePr>
    <w:tblStylePr w:type="lastCol">
      <w:rPr>
        <w:b/>
        <w:bCs/>
      </w:rPr>
    </w:tblStylePr>
    <w:tblStylePr w:type="band1Vert">
      <w:tblPr/>
      <w:tcPr>
        <w:shd w:val="clear" w:color="auto" w:fill="FEB6AF"/>
      </w:tcPr>
    </w:tblStylePr>
    <w:tblStylePr w:type="band1Horz">
      <w:tblPr/>
      <w:tcPr>
        <w:tcBorders>
          <w:insideH w:val="nil"/>
          <w:insideV w:val="nil"/>
        </w:tcBorders>
        <w:shd w:val="clear" w:color="auto" w:fill="FEB6AF"/>
      </w:tcPr>
    </w:tblStylePr>
    <w:tblStylePr w:type="band2Horz">
      <w:tblPr/>
      <w:tcPr>
        <w:tcBorders>
          <w:insideH w:val="nil"/>
          <w:insideV w:val="nil"/>
        </w:tcBorders>
      </w:tcPr>
    </w:tblStylePr>
  </w:style>
  <w:style w:type="table" w:styleId="DarkList">
    <w:name w:val="Dark List"/>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Grid3-Accent5">
    <w:name w:val="Medium Grid 3 Accent 5"/>
    <w:basedOn w:val="TableNormal"/>
    <w:uiPriority w:val="60"/>
    <w:rsid w:val="00DC36B0"/>
    <w:pPr>
      <w:spacing w:before="0"/>
    </w:pPr>
    <w:rPr>
      <w:rFonts w:ascii="Arial" w:eastAsia="Arial" w:hAnsi="Arial" w:cs="Times New Roman"/>
      <w:color w:val="880D01"/>
      <w:sz w:val="20"/>
      <w:szCs w:val="20"/>
      <w:lang w:eastAsia="en-AU"/>
    </w:rPr>
    <w:tblPr>
      <w:tblStyleRowBandSize w:val="1"/>
      <w:tblStyleColBandSize w:val="1"/>
      <w:tblInd w:w="0" w:type="dxa"/>
      <w:tblBorders>
        <w:top w:val="single" w:sz="8" w:space="0" w:color="B71202"/>
        <w:bottom w:val="single" w:sz="8" w:space="0" w:color="B7120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la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cPr>
    </w:tblStylePr>
    <w:tblStylePr w:type="band1Horz">
      <w:tblPr/>
      <w:tcPr>
        <w:tcBorders>
          <w:left w:val="nil"/>
          <w:right w:val="nil"/>
          <w:insideH w:val="nil"/>
          <w:insideV w:val="nil"/>
        </w:tcBorders>
        <w:shd w:val="clear" w:color="auto" w:fill="FEB6AF"/>
      </w:tcPr>
    </w:tblStylePr>
  </w:style>
  <w:style w:type="table" w:styleId="ColorfulShading-Accent3">
    <w:name w:val="Colorful Shading Accent 3"/>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0098C3"/>
        <w:left w:val="single" w:sz="8" w:space="0" w:color="0098C3"/>
        <w:bottom w:val="single" w:sz="8" w:space="0" w:color="0098C3"/>
        <w:right w:val="single" w:sz="8" w:space="0" w:color="0098C3"/>
        <w:insideH w:val="single" w:sz="8" w:space="0" w:color="0098C3"/>
        <w:insideV w:val="single" w:sz="8" w:space="0" w:color="0098C3"/>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0098C3"/>
          <w:left w:val="single" w:sz="8" w:space="0" w:color="0098C3"/>
          <w:bottom w:val="single" w:sz="18" w:space="0" w:color="0098C3"/>
          <w:right w:val="single" w:sz="8" w:space="0" w:color="0098C3"/>
          <w:insideH w:val="nil"/>
          <w:insideV w:val="single" w:sz="8" w:space="0" w:color="0098C3"/>
        </w:tcBorders>
      </w:tcPr>
    </w:tblStylePr>
    <w:tblStylePr w:type="lastRow">
      <w:pPr>
        <w:spacing w:before="0" w:after="0" w:line="240" w:lineRule="auto"/>
      </w:pPr>
      <w:rPr>
        <w:rFonts w:ascii="MS Mincho" w:eastAsia="Times New Roman" w:hAnsi="MS Mincho" w:cs="Times New Roman"/>
        <w:b/>
        <w:bCs/>
      </w:rPr>
      <w:tblPr/>
      <w:tcPr>
        <w:tcBorders>
          <w:top w:val="double" w:sz="6" w:space="0" w:color="0098C3"/>
          <w:left w:val="single" w:sz="8" w:space="0" w:color="0098C3"/>
          <w:bottom w:val="single" w:sz="8" w:space="0" w:color="0098C3"/>
          <w:right w:val="single" w:sz="8" w:space="0" w:color="0098C3"/>
          <w:insideH w:val="nil"/>
          <w:insideV w:val="single" w:sz="8" w:space="0" w:color="0098C3"/>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0098C3"/>
          <w:left w:val="single" w:sz="8" w:space="0" w:color="0098C3"/>
          <w:bottom w:val="single" w:sz="8" w:space="0" w:color="0098C3"/>
          <w:right w:val="single" w:sz="8" w:space="0" w:color="0098C3"/>
        </w:tcBorders>
      </w:tcPr>
    </w:tblStylePr>
    <w:tblStylePr w:type="band1Vert">
      <w:tblPr/>
      <w:tcPr>
        <w:tcBorders>
          <w:top w:val="single" w:sz="8" w:space="0" w:color="0098C3"/>
          <w:left w:val="single" w:sz="8" w:space="0" w:color="0098C3"/>
          <w:bottom w:val="single" w:sz="8" w:space="0" w:color="0098C3"/>
          <w:right w:val="single" w:sz="8" w:space="0" w:color="0098C3"/>
        </w:tcBorders>
        <w:shd w:val="clear" w:color="auto" w:fill="B1EDFF"/>
      </w:tcPr>
    </w:tblStylePr>
    <w:tblStylePr w:type="band1Horz">
      <w:tblPr/>
      <w:tcPr>
        <w:tcBorders>
          <w:top w:val="single" w:sz="8" w:space="0" w:color="0098C3"/>
          <w:left w:val="single" w:sz="8" w:space="0" w:color="0098C3"/>
          <w:bottom w:val="single" w:sz="8" w:space="0" w:color="0098C3"/>
          <w:right w:val="single" w:sz="8" w:space="0" w:color="0098C3"/>
          <w:insideV w:val="single" w:sz="8" w:space="0" w:color="0098C3"/>
        </w:tcBorders>
        <w:shd w:val="clear" w:color="auto" w:fill="B1EDFF"/>
      </w:tcPr>
    </w:tblStylePr>
    <w:tblStylePr w:type="band2Horz">
      <w:tblPr/>
      <w:tcPr>
        <w:tcBorders>
          <w:top w:val="single" w:sz="8" w:space="0" w:color="0098C3"/>
          <w:left w:val="single" w:sz="8" w:space="0" w:color="0098C3"/>
          <w:bottom w:val="single" w:sz="8" w:space="0" w:color="0098C3"/>
          <w:right w:val="single" w:sz="8" w:space="0" w:color="0098C3"/>
          <w:insideV w:val="single" w:sz="8" w:space="0" w:color="0098C3"/>
        </w:tcBorders>
      </w:tcPr>
    </w:tblStylePr>
  </w:style>
  <w:style w:type="paragraph" w:customStyle="1" w:styleId="Bibliography1">
    <w:name w:val="Bibliography1"/>
    <w:basedOn w:val="Normal"/>
    <w:next w:val="Normal"/>
    <w:uiPriority w:val="37"/>
    <w:semiHidden/>
    <w:rsid w:val="00DC36B0"/>
    <w:rPr>
      <w:rFonts w:eastAsia="MS Mincho" w:cs="Times New Roman"/>
      <w:szCs w:val="24"/>
    </w:rPr>
  </w:style>
  <w:style w:type="table" w:styleId="MediumList2-Accent1">
    <w:name w:val="Medium List 2 Accent 1"/>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51626F"/>
        <w:left w:val="single" w:sz="8" w:space="0" w:color="51626F"/>
        <w:bottom w:val="single" w:sz="8" w:space="0" w:color="51626F"/>
        <w:right w:val="single" w:sz="8" w:space="0" w:color="51626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626F"/>
      </w:tcPr>
    </w:tblStylePr>
    <w:tblStylePr w:type="lastRow">
      <w:pPr>
        <w:spacing w:before="0" w:after="0" w:line="240" w:lineRule="auto"/>
      </w:pPr>
      <w:rPr>
        <w:b/>
        <w:bCs/>
      </w:rPr>
      <w:tblPr/>
      <w:tcPr>
        <w:tcBorders>
          <w:top w:val="double" w:sz="6" w:space="0" w:color="51626F"/>
          <w:left w:val="single" w:sz="8" w:space="0" w:color="51626F"/>
          <w:bottom w:val="single" w:sz="8" w:space="0" w:color="51626F"/>
          <w:right w:val="single" w:sz="8" w:space="0" w:color="51626F"/>
        </w:tcBorders>
      </w:tcPr>
    </w:tblStylePr>
    <w:tblStylePr w:type="firstCol">
      <w:rPr>
        <w:b/>
        <w:bCs/>
      </w:rPr>
    </w:tblStylePr>
    <w:tblStylePr w:type="lastCol">
      <w:rPr>
        <w:b/>
        <w:bCs/>
      </w:rPr>
    </w:tblStylePr>
    <w:tblStylePr w:type="band1Vert">
      <w:tblPr/>
      <w:tcPr>
        <w:tcBorders>
          <w:top w:val="single" w:sz="8" w:space="0" w:color="51626F"/>
          <w:left w:val="single" w:sz="8" w:space="0" w:color="51626F"/>
          <w:bottom w:val="single" w:sz="8" w:space="0" w:color="51626F"/>
          <w:right w:val="single" w:sz="8" w:space="0" w:color="51626F"/>
        </w:tcBorders>
      </w:tcPr>
    </w:tblStylePr>
    <w:tblStylePr w:type="band1Horz">
      <w:tblPr/>
      <w:tcPr>
        <w:tcBorders>
          <w:top w:val="single" w:sz="8" w:space="0" w:color="51626F"/>
          <w:left w:val="single" w:sz="8" w:space="0" w:color="51626F"/>
          <w:bottom w:val="single" w:sz="8" w:space="0" w:color="51626F"/>
          <w:right w:val="single" w:sz="8" w:space="0" w:color="51626F"/>
        </w:tcBorders>
      </w:tcPr>
    </w:tblStylePr>
  </w:style>
  <w:style w:type="table" w:styleId="DarkList-Accent3">
    <w:name w:val="Dark List Accent 3"/>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0098C3"/>
        <w:left w:val="single" w:sz="8" w:space="0" w:color="0098C3"/>
        <w:bottom w:val="single" w:sz="8" w:space="0" w:color="0098C3"/>
        <w:right w:val="single" w:sz="8" w:space="0" w:color="0098C3"/>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98C3"/>
      </w:tcPr>
    </w:tblStylePr>
    <w:tblStylePr w:type="lastRow">
      <w:pPr>
        <w:spacing w:before="0" w:after="0" w:line="240" w:lineRule="auto"/>
      </w:pPr>
      <w:rPr>
        <w:b/>
        <w:bCs/>
      </w:rPr>
      <w:tblPr/>
      <w:tcPr>
        <w:tcBorders>
          <w:top w:val="double" w:sz="6" w:space="0" w:color="0098C3"/>
          <w:left w:val="single" w:sz="8" w:space="0" w:color="0098C3"/>
          <w:bottom w:val="single" w:sz="8" w:space="0" w:color="0098C3"/>
          <w:right w:val="single" w:sz="8" w:space="0" w:color="0098C3"/>
        </w:tcBorders>
      </w:tcPr>
    </w:tblStylePr>
    <w:tblStylePr w:type="firstCol">
      <w:rPr>
        <w:b/>
        <w:bCs/>
      </w:rPr>
    </w:tblStylePr>
    <w:tblStylePr w:type="lastCol">
      <w:rPr>
        <w:b/>
        <w:bCs/>
      </w:rPr>
    </w:tblStylePr>
    <w:tblStylePr w:type="band1Vert">
      <w:tblPr/>
      <w:tcPr>
        <w:tcBorders>
          <w:top w:val="single" w:sz="8" w:space="0" w:color="0098C3"/>
          <w:left w:val="single" w:sz="8" w:space="0" w:color="0098C3"/>
          <w:bottom w:val="single" w:sz="8" w:space="0" w:color="0098C3"/>
          <w:right w:val="single" w:sz="8" w:space="0" w:color="0098C3"/>
        </w:tcBorders>
      </w:tcPr>
    </w:tblStylePr>
    <w:tblStylePr w:type="band1Horz">
      <w:tblPr/>
      <w:tcPr>
        <w:tcBorders>
          <w:top w:val="single" w:sz="8" w:space="0" w:color="0098C3"/>
          <w:left w:val="single" w:sz="8" w:space="0" w:color="0098C3"/>
          <w:bottom w:val="single" w:sz="8" w:space="0" w:color="0098C3"/>
          <w:right w:val="single" w:sz="8" w:space="0" w:color="0098C3"/>
        </w:tcBorders>
      </w:tcPr>
    </w:tblStylePr>
  </w:style>
  <w:style w:type="table" w:styleId="DarkList-Accent5">
    <w:name w:val="Dark List Accent 5"/>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B71202"/>
        <w:left w:val="single" w:sz="8" w:space="0" w:color="B71202"/>
        <w:bottom w:val="single" w:sz="8" w:space="0" w:color="B71202"/>
        <w:right w:val="single" w:sz="8" w:space="0" w:color="B71202"/>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cPr>
    </w:tblStylePr>
    <w:tblStylePr w:type="lastRow">
      <w:pPr>
        <w:spacing w:before="0" w:after="0" w:line="240" w:lineRule="auto"/>
      </w:pPr>
      <w:rPr>
        <w:b/>
        <w:bCs/>
      </w:rPr>
      <w:tblPr/>
      <w:tcPr>
        <w:tcBorders>
          <w:top w:val="double" w:sz="6" w:space="0" w:color="B71202"/>
          <w:left w:val="single" w:sz="8" w:space="0" w:color="B71202"/>
          <w:bottom w:val="single" w:sz="8" w:space="0" w:color="B71202"/>
          <w:right w:val="single" w:sz="8" w:space="0" w:color="B71202"/>
        </w:tcBorders>
      </w:tcPr>
    </w:tblStylePr>
    <w:tblStylePr w:type="firstCol">
      <w:rPr>
        <w:b/>
        <w:bCs/>
      </w:rPr>
    </w:tblStylePr>
    <w:tblStylePr w:type="lastCol">
      <w:rPr>
        <w:b/>
        <w:bCs/>
      </w:rPr>
    </w:tblStylePr>
    <w:tblStylePr w:type="band1Vert">
      <w:tblPr/>
      <w:tcPr>
        <w:tcBorders>
          <w:top w:val="single" w:sz="8" w:space="0" w:color="B71202"/>
          <w:left w:val="single" w:sz="8" w:space="0" w:color="B71202"/>
          <w:bottom w:val="single" w:sz="8" w:space="0" w:color="B71202"/>
          <w:right w:val="single" w:sz="8" w:space="0" w:color="B71202"/>
        </w:tcBorders>
      </w:tcPr>
    </w:tblStylePr>
    <w:tblStylePr w:type="band1Horz">
      <w:tblPr/>
      <w:tcPr>
        <w:tcBorders>
          <w:top w:val="single" w:sz="8" w:space="0" w:color="B71202"/>
          <w:left w:val="single" w:sz="8" w:space="0" w:color="B71202"/>
          <w:bottom w:val="single" w:sz="8" w:space="0" w:color="B71202"/>
          <w:right w:val="single" w:sz="8" w:space="0" w:color="B71202"/>
        </w:tcBorders>
      </w:tcPr>
    </w:tblStylePr>
  </w:style>
  <w:style w:type="table" w:styleId="MediumGrid3-Accent4">
    <w:name w:val="Medium Grid 3 Accent 4"/>
    <w:basedOn w:val="TableNormal"/>
    <w:uiPriority w:val="60"/>
    <w:rsid w:val="00DC36B0"/>
    <w:pPr>
      <w:spacing w:before="0"/>
    </w:pPr>
    <w:rPr>
      <w:rFonts w:ascii="Arial" w:eastAsia="Arial" w:hAnsi="Arial" w:cs="Times New Roman"/>
      <w:color w:val="4DA5D9"/>
      <w:sz w:val="20"/>
      <w:szCs w:val="20"/>
      <w:lang w:eastAsia="en-AU"/>
    </w:rPr>
    <w:tblPr>
      <w:tblStyleRowBandSize w:val="1"/>
      <w:tblStyleColBandSize w:val="1"/>
      <w:tblInd w:w="0" w:type="dxa"/>
      <w:tblBorders>
        <w:top w:val="single" w:sz="8" w:space="0" w:color="A0CFEB"/>
        <w:bottom w:val="single" w:sz="8" w:space="0" w:color="A0CFE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la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cPr>
    </w:tblStylePr>
    <w:tblStylePr w:type="band1Horz">
      <w:tblPr/>
      <w:tcPr>
        <w:tcBorders>
          <w:left w:val="nil"/>
          <w:right w:val="nil"/>
          <w:insideH w:val="nil"/>
          <w:insideV w:val="nil"/>
        </w:tcBorders>
        <w:shd w:val="clear" w:color="auto" w:fill="E7F3FA"/>
      </w:tcPr>
    </w:tblStylePr>
  </w:style>
  <w:style w:type="table" w:styleId="MediumGrid3-Accent6">
    <w:name w:val="Medium Grid 3 Accent 6"/>
    <w:basedOn w:val="TableNormal"/>
    <w:uiPriority w:val="60"/>
    <w:rsid w:val="00DC36B0"/>
    <w:pPr>
      <w:spacing w:before="0"/>
    </w:pPr>
    <w:rPr>
      <w:rFonts w:ascii="Arial" w:eastAsia="Arial" w:hAnsi="Arial" w:cs="Times New Roman"/>
      <w:color w:val="AD351E"/>
      <w:sz w:val="20"/>
      <w:szCs w:val="20"/>
      <w:lang w:eastAsia="en-AU"/>
    </w:rPr>
    <w:tblPr>
      <w:tblStyleRowBandSize w:val="1"/>
      <w:tblStyleColBandSize w:val="1"/>
      <w:tblInd w:w="0" w:type="dxa"/>
      <w:tblBorders>
        <w:top w:val="single" w:sz="8" w:space="0" w:color="DC5034"/>
        <w:bottom w:val="single" w:sz="8" w:space="0" w:color="DC503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la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cPr>
    </w:tblStylePr>
    <w:tblStylePr w:type="band1Horz">
      <w:tblPr/>
      <w:tcPr>
        <w:tcBorders>
          <w:left w:val="nil"/>
          <w:right w:val="nil"/>
          <w:insideH w:val="nil"/>
          <w:insideV w:val="nil"/>
        </w:tcBorders>
        <w:shd w:val="clear" w:color="auto" w:fill="F6D3CC"/>
      </w:tcPr>
    </w:tblStylePr>
  </w:style>
  <w:style w:type="table" w:styleId="DarkList-Accent2">
    <w:name w:val="Dark List Accent 2"/>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4F2D7D"/>
        <w:left w:val="single" w:sz="8" w:space="0" w:color="4F2D7D"/>
        <w:bottom w:val="single" w:sz="8" w:space="0" w:color="4F2D7D"/>
        <w:right w:val="single" w:sz="8" w:space="0" w:color="4F2D7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2D7D"/>
      </w:tcPr>
    </w:tblStylePr>
    <w:tblStylePr w:type="lastRow">
      <w:pPr>
        <w:spacing w:before="0" w:after="0" w:line="240" w:lineRule="auto"/>
      </w:pPr>
      <w:rPr>
        <w:b/>
        <w:bCs/>
      </w:rPr>
      <w:tblPr/>
      <w:tcPr>
        <w:tcBorders>
          <w:top w:val="double" w:sz="6" w:space="0" w:color="4F2D7D"/>
          <w:left w:val="single" w:sz="8" w:space="0" w:color="4F2D7D"/>
          <w:bottom w:val="single" w:sz="8" w:space="0" w:color="4F2D7D"/>
          <w:right w:val="single" w:sz="8" w:space="0" w:color="4F2D7D"/>
        </w:tcBorders>
      </w:tcPr>
    </w:tblStylePr>
    <w:tblStylePr w:type="firstCol">
      <w:rPr>
        <w:b/>
        <w:bCs/>
      </w:rPr>
    </w:tblStylePr>
    <w:tblStylePr w:type="lastCol">
      <w:rPr>
        <w:b/>
        <w:bCs/>
      </w:rPr>
    </w:tblStylePr>
    <w:tblStylePr w:type="band1Vert">
      <w:tblPr/>
      <w:tcPr>
        <w:tcBorders>
          <w:top w:val="single" w:sz="8" w:space="0" w:color="4F2D7D"/>
          <w:left w:val="single" w:sz="8" w:space="0" w:color="4F2D7D"/>
          <w:bottom w:val="single" w:sz="8" w:space="0" w:color="4F2D7D"/>
          <w:right w:val="single" w:sz="8" w:space="0" w:color="4F2D7D"/>
        </w:tcBorders>
      </w:tcPr>
    </w:tblStylePr>
    <w:tblStylePr w:type="band1Horz">
      <w:tblPr/>
      <w:tcPr>
        <w:tcBorders>
          <w:top w:val="single" w:sz="8" w:space="0" w:color="4F2D7D"/>
          <w:left w:val="single" w:sz="8" w:space="0" w:color="4F2D7D"/>
          <w:bottom w:val="single" w:sz="8" w:space="0" w:color="4F2D7D"/>
          <w:right w:val="single" w:sz="8" w:space="0" w:color="4F2D7D"/>
        </w:tcBorders>
      </w:tcPr>
    </w:tblStylePr>
  </w:style>
  <w:style w:type="table" w:styleId="DarkList-Accent4">
    <w:name w:val="Dark List Accent 4"/>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A0CFEB"/>
        <w:left w:val="single" w:sz="8" w:space="0" w:color="A0CFEB"/>
        <w:bottom w:val="single" w:sz="8" w:space="0" w:color="A0CFEB"/>
        <w:right w:val="single" w:sz="8" w:space="0" w:color="A0CFE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0CFEB"/>
      </w:tcPr>
    </w:tblStylePr>
    <w:tblStylePr w:type="lastRow">
      <w:pPr>
        <w:spacing w:before="0" w:after="0" w:line="240" w:lineRule="auto"/>
      </w:pPr>
      <w:rPr>
        <w:b/>
        <w:bCs/>
      </w:rPr>
      <w:tblPr/>
      <w:tcPr>
        <w:tcBorders>
          <w:top w:val="double" w:sz="6" w:space="0" w:color="A0CFEB"/>
          <w:left w:val="single" w:sz="8" w:space="0" w:color="A0CFEB"/>
          <w:bottom w:val="single" w:sz="8" w:space="0" w:color="A0CFEB"/>
          <w:right w:val="single" w:sz="8" w:space="0" w:color="A0CFEB"/>
        </w:tcBorders>
      </w:tcPr>
    </w:tblStylePr>
    <w:tblStylePr w:type="firstCol">
      <w:rPr>
        <w:b/>
        <w:bCs/>
      </w:rPr>
    </w:tblStylePr>
    <w:tblStylePr w:type="lastCol">
      <w:rPr>
        <w:b/>
        <w:bCs/>
      </w:rPr>
    </w:tblStylePr>
    <w:tblStylePr w:type="band1Vert">
      <w:tblPr/>
      <w:tcPr>
        <w:tcBorders>
          <w:top w:val="single" w:sz="8" w:space="0" w:color="A0CFEB"/>
          <w:left w:val="single" w:sz="8" w:space="0" w:color="A0CFEB"/>
          <w:bottom w:val="single" w:sz="8" w:space="0" w:color="A0CFEB"/>
          <w:right w:val="single" w:sz="8" w:space="0" w:color="A0CFEB"/>
        </w:tcBorders>
      </w:tcPr>
    </w:tblStylePr>
    <w:tblStylePr w:type="band1Horz">
      <w:tblPr/>
      <w:tcPr>
        <w:tcBorders>
          <w:top w:val="single" w:sz="8" w:space="0" w:color="A0CFEB"/>
          <w:left w:val="single" w:sz="8" w:space="0" w:color="A0CFEB"/>
          <w:bottom w:val="single" w:sz="8" w:space="0" w:color="A0CFEB"/>
          <w:right w:val="single" w:sz="8" w:space="0" w:color="A0CFEB"/>
        </w:tcBorders>
      </w:tcPr>
    </w:tblStylePr>
  </w:style>
  <w:style w:type="table" w:styleId="DarkList-Accent6">
    <w:name w:val="Dark List Accent 6"/>
    <w:basedOn w:val="TableNormal"/>
    <w:uiPriority w:val="61"/>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DC5034"/>
        <w:left w:val="single" w:sz="8" w:space="0" w:color="DC5034"/>
        <w:bottom w:val="single" w:sz="8" w:space="0" w:color="DC5034"/>
        <w:right w:val="single" w:sz="8" w:space="0" w:color="DC503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C5034"/>
      </w:tcPr>
    </w:tblStylePr>
    <w:tblStylePr w:type="lastRow">
      <w:pPr>
        <w:spacing w:before="0" w:after="0" w:line="240" w:lineRule="auto"/>
      </w:pPr>
      <w:rPr>
        <w:b/>
        <w:bCs/>
      </w:rPr>
      <w:tblPr/>
      <w:tcPr>
        <w:tcBorders>
          <w:top w:val="double" w:sz="6" w:space="0" w:color="DC5034"/>
          <w:left w:val="single" w:sz="8" w:space="0" w:color="DC5034"/>
          <w:bottom w:val="single" w:sz="8" w:space="0" w:color="DC5034"/>
          <w:right w:val="single" w:sz="8" w:space="0" w:color="DC5034"/>
        </w:tcBorders>
      </w:tcPr>
    </w:tblStylePr>
    <w:tblStylePr w:type="firstCol">
      <w:rPr>
        <w:b/>
        <w:bCs/>
      </w:rPr>
    </w:tblStylePr>
    <w:tblStylePr w:type="lastCol">
      <w:rPr>
        <w:b/>
        <w:bCs/>
      </w:rPr>
    </w:tblStylePr>
    <w:tblStylePr w:type="band1Vert">
      <w:tblPr/>
      <w:tcPr>
        <w:tcBorders>
          <w:top w:val="single" w:sz="8" w:space="0" w:color="DC5034"/>
          <w:left w:val="single" w:sz="8" w:space="0" w:color="DC5034"/>
          <w:bottom w:val="single" w:sz="8" w:space="0" w:color="DC5034"/>
          <w:right w:val="single" w:sz="8" w:space="0" w:color="DC5034"/>
        </w:tcBorders>
      </w:tcPr>
    </w:tblStylePr>
    <w:tblStylePr w:type="band1Horz">
      <w:tblPr/>
      <w:tcPr>
        <w:tcBorders>
          <w:top w:val="single" w:sz="8" w:space="0" w:color="DC5034"/>
          <w:left w:val="single" w:sz="8" w:space="0" w:color="DC5034"/>
          <w:bottom w:val="single" w:sz="8" w:space="0" w:color="DC5034"/>
          <w:right w:val="single" w:sz="8" w:space="0" w:color="DC5034"/>
        </w:tcBorders>
      </w:tcPr>
    </w:tblStylePr>
  </w:style>
  <w:style w:type="table" w:styleId="ColorfulShading">
    <w:name w:val="Colorful Shading"/>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Mincho" w:eastAsia="Times New Roman" w:hAnsi="MS Mincho"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51626F"/>
        <w:left w:val="single" w:sz="8" w:space="0" w:color="51626F"/>
        <w:bottom w:val="single" w:sz="8" w:space="0" w:color="51626F"/>
        <w:right w:val="single" w:sz="8" w:space="0" w:color="51626F"/>
        <w:insideH w:val="single" w:sz="8" w:space="0" w:color="51626F"/>
        <w:insideV w:val="single" w:sz="8" w:space="0" w:color="51626F"/>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51626F"/>
          <w:left w:val="single" w:sz="8" w:space="0" w:color="51626F"/>
          <w:bottom w:val="single" w:sz="18" w:space="0" w:color="51626F"/>
          <w:right w:val="single" w:sz="8" w:space="0" w:color="51626F"/>
          <w:insideH w:val="nil"/>
          <w:insideV w:val="single" w:sz="8" w:space="0" w:color="51626F"/>
        </w:tcBorders>
      </w:tcPr>
    </w:tblStylePr>
    <w:tblStylePr w:type="lastRow">
      <w:pPr>
        <w:spacing w:before="0" w:after="0" w:line="240" w:lineRule="auto"/>
      </w:pPr>
      <w:rPr>
        <w:rFonts w:ascii="MS Mincho" w:eastAsia="Times New Roman" w:hAnsi="MS Mincho" w:cs="Times New Roman"/>
        <w:b/>
        <w:bCs/>
      </w:rPr>
      <w:tblPr/>
      <w:tcPr>
        <w:tcBorders>
          <w:top w:val="double" w:sz="6" w:space="0" w:color="51626F"/>
          <w:left w:val="single" w:sz="8" w:space="0" w:color="51626F"/>
          <w:bottom w:val="single" w:sz="8" w:space="0" w:color="51626F"/>
          <w:right w:val="single" w:sz="8" w:space="0" w:color="51626F"/>
          <w:insideH w:val="nil"/>
          <w:insideV w:val="single" w:sz="8" w:space="0" w:color="51626F"/>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51626F"/>
          <w:left w:val="single" w:sz="8" w:space="0" w:color="51626F"/>
          <w:bottom w:val="single" w:sz="8" w:space="0" w:color="51626F"/>
          <w:right w:val="single" w:sz="8" w:space="0" w:color="51626F"/>
        </w:tcBorders>
      </w:tcPr>
    </w:tblStylePr>
    <w:tblStylePr w:type="band1Vert">
      <w:tblPr/>
      <w:tcPr>
        <w:tcBorders>
          <w:top w:val="single" w:sz="8" w:space="0" w:color="51626F"/>
          <w:left w:val="single" w:sz="8" w:space="0" w:color="51626F"/>
          <w:bottom w:val="single" w:sz="8" w:space="0" w:color="51626F"/>
          <w:right w:val="single" w:sz="8" w:space="0" w:color="51626F"/>
        </w:tcBorders>
        <w:shd w:val="clear" w:color="auto" w:fill="D1D8DD"/>
      </w:tcPr>
    </w:tblStylePr>
    <w:tblStylePr w:type="band1Horz">
      <w:tblPr/>
      <w:tcPr>
        <w:tcBorders>
          <w:top w:val="single" w:sz="8" w:space="0" w:color="51626F"/>
          <w:left w:val="single" w:sz="8" w:space="0" w:color="51626F"/>
          <w:bottom w:val="single" w:sz="8" w:space="0" w:color="51626F"/>
          <w:right w:val="single" w:sz="8" w:space="0" w:color="51626F"/>
          <w:insideV w:val="single" w:sz="8" w:space="0" w:color="51626F"/>
        </w:tcBorders>
        <w:shd w:val="clear" w:color="auto" w:fill="D1D8DD"/>
      </w:tcPr>
    </w:tblStylePr>
    <w:tblStylePr w:type="band2Horz">
      <w:tblPr/>
      <w:tcPr>
        <w:tcBorders>
          <w:top w:val="single" w:sz="8" w:space="0" w:color="51626F"/>
          <w:left w:val="single" w:sz="8" w:space="0" w:color="51626F"/>
          <w:bottom w:val="single" w:sz="8" w:space="0" w:color="51626F"/>
          <w:right w:val="single" w:sz="8" w:space="0" w:color="51626F"/>
          <w:insideV w:val="single" w:sz="8" w:space="0" w:color="51626F"/>
        </w:tcBorders>
      </w:tcPr>
    </w:tblStylePr>
  </w:style>
  <w:style w:type="table" w:styleId="ColorfulShading-Accent2">
    <w:name w:val="Colorful Shading Accent 2"/>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4F2D7D"/>
        <w:left w:val="single" w:sz="8" w:space="0" w:color="4F2D7D"/>
        <w:bottom w:val="single" w:sz="8" w:space="0" w:color="4F2D7D"/>
        <w:right w:val="single" w:sz="8" w:space="0" w:color="4F2D7D"/>
        <w:insideH w:val="single" w:sz="8" w:space="0" w:color="4F2D7D"/>
        <w:insideV w:val="single" w:sz="8" w:space="0" w:color="4F2D7D"/>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4F2D7D"/>
          <w:left w:val="single" w:sz="8" w:space="0" w:color="4F2D7D"/>
          <w:bottom w:val="single" w:sz="18" w:space="0" w:color="4F2D7D"/>
          <w:right w:val="single" w:sz="8" w:space="0" w:color="4F2D7D"/>
          <w:insideH w:val="nil"/>
          <w:insideV w:val="single" w:sz="8" w:space="0" w:color="4F2D7D"/>
        </w:tcBorders>
      </w:tcPr>
    </w:tblStylePr>
    <w:tblStylePr w:type="lastRow">
      <w:pPr>
        <w:spacing w:before="0" w:after="0" w:line="240" w:lineRule="auto"/>
      </w:pPr>
      <w:rPr>
        <w:rFonts w:ascii="MS Mincho" w:eastAsia="Times New Roman" w:hAnsi="MS Mincho" w:cs="Times New Roman"/>
        <w:b/>
        <w:bCs/>
      </w:rPr>
      <w:tblPr/>
      <w:tcPr>
        <w:tcBorders>
          <w:top w:val="double" w:sz="6" w:space="0" w:color="4F2D7D"/>
          <w:left w:val="single" w:sz="8" w:space="0" w:color="4F2D7D"/>
          <w:bottom w:val="single" w:sz="8" w:space="0" w:color="4F2D7D"/>
          <w:right w:val="single" w:sz="8" w:space="0" w:color="4F2D7D"/>
          <w:insideH w:val="nil"/>
          <w:insideV w:val="single" w:sz="8" w:space="0" w:color="4F2D7D"/>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4F2D7D"/>
          <w:left w:val="single" w:sz="8" w:space="0" w:color="4F2D7D"/>
          <w:bottom w:val="single" w:sz="8" w:space="0" w:color="4F2D7D"/>
          <w:right w:val="single" w:sz="8" w:space="0" w:color="4F2D7D"/>
        </w:tcBorders>
      </w:tcPr>
    </w:tblStylePr>
    <w:tblStylePr w:type="band1Vert">
      <w:tblPr/>
      <w:tcPr>
        <w:tcBorders>
          <w:top w:val="single" w:sz="8" w:space="0" w:color="4F2D7D"/>
          <w:left w:val="single" w:sz="8" w:space="0" w:color="4F2D7D"/>
          <w:bottom w:val="single" w:sz="8" w:space="0" w:color="4F2D7D"/>
          <w:right w:val="single" w:sz="8" w:space="0" w:color="4F2D7D"/>
        </w:tcBorders>
        <w:shd w:val="clear" w:color="auto" w:fill="D1C1E8"/>
      </w:tcPr>
    </w:tblStylePr>
    <w:tblStylePr w:type="band1Horz">
      <w:tblPr/>
      <w:tcPr>
        <w:tcBorders>
          <w:top w:val="single" w:sz="8" w:space="0" w:color="4F2D7D"/>
          <w:left w:val="single" w:sz="8" w:space="0" w:color="4F2D7D"/>
          <w:bottom w:val="single" w:sz="8" w:space="0" w:color="4F2D7D"/>
          <w:right w:val="single" w:sz="8" w:space="0" w:color="4F2D7D"/>
          <w:insideV w:val="single" w:sz="8" w:space="0" w:color="4F2D7D"/>
        </w:tcBorders>
        <w:shd w:val="clear" w:color="auto" w:fill="D1C1E8"/>
      </w:tcPr>
    </w:tblStylePr>
    <w:tblStylePr w:type="band2Horz">
      <w:tblPr/>
      <w:tcPr>
        <w:tcBorders>
          <w:top w:val="single" w:sz="8" w:space="0" w:color="4F2D7D"/>
          <w:left w:val="single" w:sz="8" w:space="0" w:color="4F2D7D"/>
          <w:bottom w:val="single" w:sz="8" w:space="0" w:color="4F2D7D"/>
          <w:right w:val="single" w:sz="8" w:space="0" w:color="4F2D7D"/>
          <w:insideV w:val="single" w:sz="8" w:space="0" w:color="4F2D7D"/>
        </w:tcBorders>
      </w:tcPr>
    </w:tblStylePr>
  </w:style>
  <w:style w:type="table" w:styleId="ColorfulShading-Accent4">
    <w:name w:val="Colorful Shading Accent 4"/>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A0CFEB"/>
        <w:left w:val="single" w:sz="8" w:space="0" w:color="A0CFEB"/>
        <w:bottom w:val="single" w:sz="8" w:space="0" w:color="A0CFEB"/>
        <w:right w:val="single" w:sz="8" w:space="0" w:color="A0CFEB"/>
        <w:insideH w:val="single" w:sz="8" w:space="0" w:color="A0CFEB"/>
        <w:insideV w:val="single" w:sz="8" w:space="0" w:color="A0CFEB"/>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A0CFEB"/>
          <w:left w:val="single" w:sz="8" w:space="0" w:color="A0CFEB"/>
          <w:bottom w:val="single" w:sz="18" w:space="0" w:color="A0CFEB"/>
          <w:right w:val="single" w:sz="8" w:space="0" w:color="A0CFEB"/>
          <w:insideH w:val="nil"/>
          <w:insideV w:val="single" w:sz="8" w:space="0" w:color="A0CFEB"/>
        </w:tcBorders>
      </w:tcPr>
    </w:tblStylePr>
    <w:tblStylePr w:type="lastRow">
      <w:pPr>
        <w:spacing w:before="0" w:after="0" w:line="240" w:lineRule="auto"/>
      </w:pPr>
      <w:rPr>
        <w:rFonts w:ascii="MS Mincho" w:eastAsia="Times New Roman" w:hAnsi="MS Mincho" w:cs="Times New Roman"/>
        <w:b/>
        <w:bCs/>
      </w:rPr>
      <w:tblPr/>
      <w:tcPr>
        <w:tcBorders>
          <w:top w:val="double" w:sz="6" w:space="0" w:color="A0CFEB"/>
          <w:left w:val="single" w:sz="8" w:space="0" w:color="A0CFEB"/>
          <w:bottom w:val="single" w:sz="8" w:space="0" w:color="A0CFEB"/>
          <w:right w:val="single" w:sz="8" w:space="0" w:color="A0CFEB"/>
          <w:insideH w:val="nil"/>
          <w:insideV w:val="single" w:sz="8" w:space="0" w:color="A0CFEB"/>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A0CFEB"/>
          <w:left w:val="single" w:sz="8" w:space="0" w:color="A0CFEB"/>
          <w:bottom w:val="single" w:sz="8" w:space="0" w:color="A0CFEB"/>
          <w:right w:val="single" w:sz="8" w:space="0" w:color="A0CFEB"/>
        </w:tcBorders>
      </w:tcPr>
    </w:tblStylePr>
    <w:tblStylePr w:type="band1Vert">
      <w:tblPr/>
      <w:tcPr>
        <w:tcBorders>
          <w:top w:val="single" w:sz="8" w:space="0" w:color="A0CFEB"/>
          <w:left w:val="single" w:sz="8" w:space="0" w:color="A0CFEB"/>
          <w:bottom w:val="single" w:sz="8" w:space="0" w:color="A0CFEB"/>
          <w:right w:val="single" w:sz="8" w:space="0" w:color="A0CFEB"/>
        </w:tcBorders>
        <w:shd w:val="clear" w:color="auto" w:fill="E7F3FA"/>
      </w:tcPr>
    </w:tblStylePr>
    <w:tblStylePr w:type="band1Horz">
      <w:tblPr/>
      <w:tcPr>
        <w:tcBorders>
          <w:top w:val="single" w:sz="8" w:space="0" w:color="A0CFEB"/>
          <w:left w:val="single" w:sz="8" w:space="0" w:color="A0CFEB"/>
          <w:bottom w:val="single" w:sz="8" w:space="0" w:color="A0CFEB"/>
          <w:right w:val="single" w:sz="8" w:space="0" w:color="A0CFEB"/>
          <w:insideV w:val="single" w:sz="8" w:space="0" w:color="A0CFEB"/>
        </w:tcBorders>
        <w:shd w:val="clear" w:color="auto" w:fill="E7F3FA"/>
      </w:tcPr>
    </w:tblStylePr>
    <w:tblStylePr w:type="band2Horz">
      <w:tblPr/>
      <w:tcPr>
        <w:tcBorders>
          <w:top w:val="single" w:sz="8" w:space="0" w:color="A0CFEB"/>
          <w:left w:val="single" w:sz="8" w:space="0" w:color="A0CFEB"/>
          <w:bottom w:val="single" w:sz="8" w:space="0" w:color="A0CFEB"/>
          <w:right w:val="single" w:sz="8" w:space="0" w:color="A0CFEB"/>
          <w:insideV w:val="single" w:sz="8" w:space="0" w:color="A0CFEB"/>
        </w:tcBorders>
      </w:tcPr>
    </w:tblStylePr>
  </w:style>
  <w:style w:type="table" w:styleId="ColorfulShading-Accent5">
    <w:name w:val="Colorful Shading Accent 5"/>
    <w:basedOn w:val="TableNormal"/>
    <w:uiPriority w:val="62"/>
    <w:rsid w:val="00DC36B0"/>
    <w:pPr>
      <w:spacing w:before="0"/>
    </w:pPr>
    <w:rPr>
      <w:rFonts w:ascii="Arial" w:eastAsia="Arial" w:hAnsi="Arial" w:cs="Times New Roman"/>
      <w:sz w:val="20"/>
      <w:szCs w:val="20"/>
      <w:lang w:eastAsia="en-AU"/>
    </w:rPr>
    <w:tblPr>
      <w:tblStyleRowBandSize w:val="1"/>
      <w:tblStyleColBandSize w:val="1"/>
      <w:tblInd w:w="0" w:type="dxa"/>
      <w:tblBorders>
        <w:top w:val="single" w:sz="8" w:space="0" w:color="B71202"/>
        <w:left w:val="single" w:sz="8" w:space="0" w:color="B71202"/>
        <w:bottom w:val="single" w:sz="8" w:space="0" w:color="B71202"/>
        <w:right w:val="single" w:sz="8" w:space="0" w:color="B71202"/>
        <w:insideH w:val="single" w:sz="8" w:space="0" w:color="B71202"/>
        <w:insideV w:val="single" w:sz="8" w:space="0" w:color="B71202"/>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B71202"/>
          <w:left w:val="single" w:sz="8" w:space="0" w:color="B71202"/>
          <w:bottom w:val="single" w:sz="18" w:space="0" w:color="B71202"/>
          <w:right w:val="single" w:sz="8" w:space="0" w:color="B71202"/>
          <w:insideH w:val="nil"/>
          <w:insideV w:val="single" w:sz="8" w:space="0" w:color="B71202"/>
        </w:tcBorders>
      </w:tcPr>
    </w:tblStylePr>
    <w:tblStylePr w:type="lastRow">
      <w:pPr>
        <w:spacing w:before="0" w:after="0" w:line="240" w:lineRule="auto"/>
      </w:pPr>
      <w:rPr>
        <w:rFonts w:ascii="MS Mincho" w:eastAsia="Times New Roman" w:hAnsi="MS Mincho" w:cs="Times New Roman"/>
        <w:b/>
        <w:bCs/>
      </w:rPr>
      <w:tblPr/>
      <w:tcPr>
        <w:tcBorders>
          <w:top w:val="double" w:sz="6" w:space="0" w:color="B71202"/>
          <w:left w:val="single" w:sz="8" w:space="0" w:color="B71202"/>
          <w:bottom w:val="single" w:sz="8" w:space="0" w:color="B71202"/>
          <w:right w:val="single" w:sz="8" w:space="0" w:color="B71202"/>
          <w:insideH w:val="nil"/>
          <w:insideV w:val="single" w:sz="8" w:space="0" w:color="B7120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B71202"/>
          <w:left w:val="single" w:sz="8" w:space="0" w:color="B71202"/>
          <w:bottom w:val="single" w:sz="8" w:space="0" w:color="B71202"/>
          <w:right w:val="single" w:sz="8" w:space="0" w:color="B71202"/>
        </w:tcBorders>
      </w:tcPr>
    </w:tblStylePr>
    <w:tblStylePr w:type="band1Vert">
      <w:tblPr/>
      <w:tcPr>
        <w:tcBorders>
          <w:top w:val="single" w:sz="8" w:space="0" w:color="B71202"/>
          <w:left w:val="single" w:sz="8" w:space="0" w:color="B71202"/>
          <w:bottom w:val="single" w:sz="8" w:space="0" w:color="B71202"/>
          <w:right w:val="single" w:sz="8" w:space="0" w:color="B71202"/>
        </w:tcBorders>
        <w:shd w:val="clear" w:color="auto" w:fill="FEB6AF"/>
      </w:tcPr>
    </w:tblStylePr>
    <w:tblStylePr w:type="band1Horz">
      <w:tblPr/>
      <w:tcPr>
        <w:tcBorders>
          <w:top w:val="single" w:sz="8" w:space="0" w:color="B71202"/>
          <w:left w:val="single" w:sz="8" w:space="0" w:color="B71202"/>
          <w:bottom w:val="single" w:sz="8" w:space="0" w:color="B71202"/>
          <w:right w:val="single" w:sz="8" w:space="0" w:color="B71202"/>
          <w:insideV w:val="single" w:sz="8" w:space="0" w:color="B71202"/>
        </w:tcBorders>
        <w:shd w:val="clear" w:color="auto" w:fill="FEB6AF"/>
      </w:tcPr>
    </w:tblStylePr>
    <w:tblStylePr w:type="band2Horz">
      <w:tblPr/>
      <w:tcPr>
        <w:tcBorders>
          <w:top w:val="single" w:sz="8" w:space="0" w:color="B71202"/>
          <w:left w:val="single" w:sz="8" w:space="0" w:color="B71202"/>
          <w:bottom w:val="single" w:sz="8" w:space="0" w:color="B71202"/>
          <w:right w:val="single" w:sz="8" w:space="0" w:color="B71202"/>
          <w:insideV w:val="single" w:sz="8" w:space="0" w:color="B71202"/>
        </w:tcBorders>
      </w:tcPr>
    </w:tblStylePr>
  </w:style>
  <w:style w:type="paragraph" w:customStyle="1" w:styleId="TableHeading">
    <w:name w:val="Table Heading"/>
    <w:basedOn w:val="Tabletext"/>
    <w:link w:val="TableHeadingChar"/>
    <w:qFormat/>
    <w:rsid w:val="00DC36B0"/>
    <w:pPr>
      <w:spacing w:before="60"/>
    </w:pPr>
    <w:rPr>
      <w:rFonts w:eastAsia="MS Mincho" w:cs="Times New Roman"/>
      <w:b/>
      <w:sz w:val="22"/>
      <w:szCs w:val="24"/>
    </w:rPr>
  </w:style>
  <w:style w:type="character" w:customStyle="1" w:styleId="TableHeadingChar">
    <w:name w:val="Table Heading Char"/>
    <w:link w:val="TableHeading"/>
    <w:rsid w:val="00DC36B0"/>
    <w:rPr>
      <w:rFonts w:ascii="Arial" w:eastAsia="MS Mincho" w:hAnsi="Arial" w:cs="Times New Roman"/>
      <w:b/>
      <w:szCs w:val="24"/>
    </w:rPr>
  </w:style>
  <w:style w:type="character" w:customStyle="1" w:styleId="SubtleReference1">
    <w:name w:val="Subtle Reference1"/>
    <w:uiPriority w:val="31"/>
    <w:unhideWhenUsed/>
    <w:rsid w:val="00DC36B0"/>
    <w:rPr>
      <w:smallCaps/>
      <w:color w:val="4F2D7D"/>
      <w:u w:val="single"/>
    </w:rPr>
  </w:style>
  <w:style w:type="character" w:customStyle="1" w:styleId="Wingdingtick">
    <w:name w:val="Wingding tick"/>
    <w:uiPriority w:val="99"/>
    <w:rsid w:val="00DC36B0"/>
    <w:rPr>
      <w:rFonts w:ascii="Wingdings-Regular" w:hAnsi="Wingdings-Regular" w:cs="Wingdings-Regular"/>
    </w:rPr>
  </w:style>
  <w:style w:type="character" w:customStyle="1" w:styleId="Wingdingstick">
    <w:name w:val="Wingdings tick"/>
    <w:uiPriority w:val="99"/>
    <w:rsid w:val="00DC36B0"/>
    <w:rPr>
      <w:rFonts w:ascii="Wingdings-Regular" w:hAnsi="Wingdings-Regular" w:cs="Wingdings-Regular"/>
    </w:rPr>
  </w:style>
  <w:style w:type="paragraph" w:customStyle="1" w:styleId="Boxheading">
    <w:name w:val="Box heading"/>
    <w:qFormat/>
    <w:rsid w:val="00DC36B0"/>
    <w:pPr>
      <w:spacing w:before="0"/>
    </w:pPr>
    <w:rPr>
      <w:rFonts w:ascii="Arial" w:eastAsia="Times New Roman" w:hAnsi="Arial" w:cs="Times New Roman"/>
      <w:b/>
      <w:bCs/>
      <w:color w:val="000000"/>
      <w:sz w:val="24"/>
      <w:szCs w:val="24"/>
    </w:rPr>
  </w:style>
  <w:style w:type="paragraph" w:styleId="DocumentMap">
    <w:name w:val="Document Map"/>
    <w:basedOn w:val="Normal"/>
    <w:link w:val="DocumentMapChar"/>
    <w:uiPriority w:val="99"/>
    <w:semiHidden/>
    <w:unhideWhenUsed/>
    <w:rsid w:val="00DC36B0"/>
    <w:rPr>
      <w:rFonts w:ascii="Lucida Grande" w:eastAsia="MS Mincho" w:hAnsi="Lucida Grande" w:cs="Lucida Grande"/>
      <w:sz w:val="24"/>
      <w:szCs w:val="24"/>
    </w:rPr>
  </w:style>
  <w:style w:type="character" w:customStyle="1" w:styleId="DocumentMapChar">
    <w:name w:val="Document Map Char"/>
    <w:basedOn w:val="DefaultParagraphFont"/>
    <w:link w:val="DocumentMap"/>
    <w:uiPriority w:val="99"/>
    <w:semiHidden/>
    <w:rsid w:val="00DC36B0"/>
    <w:rPr>
      <w:rFonts w:ascii="Lucida Grande" w:eastAsia="MS Mincho" w:hAnsi="Lucida Grande" w:cs="Lucida Grande"/>
      <w:sz w:val="24"/>
      <w:szCs w:val="24"/>
    </w:rPr>
  </w:style>
  <w:style w:type="paragraph" w:customStyle="1" w:styleId="Reporttitle">
    <w:name w:val="Report title"/>
    <w:basedOn w:val="Normal"/>
    <w:link w:val="ReporttitleChar"/>
    <w:qFormat/>
    <w:rsid w:val="00897AA5"/>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897AA5"/>
    <w:rPr>
      <w:rFonts w:ascii="Lucida Fax" w:hAnsi="Lucida Fax"/>
      <w:color w:val="4F2D7F"/>
      <w:sz w:val="72"/>
      <w:szCs w:val="56"/>
    </w:rPr>
  </w:style>
  <w:style w:type="paragraph" w:customStyle="1" w:styleId="Pullquoteheading">
    <w:name w:val="Pull quote heading"/>
    <w:basedOn w:val="Normal"/>
    <w:link w:val="PullquoteheadingChar"/>
    <w:uiPriority w:val="1"/>
    <w:rsid w:val="00897AA5"/>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897AA5"/>
    <w:rPr>
      <w:rFonts w:ascii="Lucida Fax" w:hAnsi="Lucida Fax"/>
      <w:b/>
      <w:color w:val="DC5034"/>
      <w:sz w:val="24"/>
      <w:szCs w:val="24"/>
    </w:rPr>
  </w:style>
  <w:style w:type="character" w:styleId="BookTitle">
    <w:name w:val="Book Title"/>
    <w:uiPriority w:val="33"/>
    <w:rsid w:val="00897AA5"/>
    <w:rPr>
      <w:rFonts w:ascii="Arial" w:hAnsi="Arial"/>
      <w:bCs/>
      <w:i/>
      <w:caps w:val="0"/>
      <w:smallCaps w:val="0"/>
      <w:spacing w:val="0"/>
      <w:sz w:val="22"/>
    </w:rPr>
  </w:style>
  <w:style w:type="paragraph" w:customStyle="1" w:styleId="Numberedlist">
    <w:name w:val="Numbered list"/>
    <w:basedOn w:val="ListNumber"/>
    <w:rsid w:val="00897AA5"/>
    <w:pPr>
      <w:numPr>
        <w:numId w:val="0"/>
      </w:numPr>
      <w:ind w:left="357" w:hanging="357"/>
    </w:pPr>
  </w:style>
  <w:style w:type="character" w:customStyle="1" w:styleId="NoBreak">
    <w:name w:val="No Break"/>
    <w:uiPriority w:val="99"/>
    <w:rsid w:val="00897AA5"/>
  </w:style>
  <w:style w:type="character" w:styleId="CommentReference">
    <w:name w:val="annotation reference"/>
    <w:basedOn w:val="DefaultParagraphFont"/>
    <w:uiPriority w:val="99"/>
    <w:semiHidden/>
    <w:unhideWhenUsed/>
    <w:rsid w:val="00897AA5"/>
    <w:rPr>
      <w:sz w:val="16"/>
      <w:szCs w:val="16"/>
    </w:rPr>
  </w:style>
  <w:style w:type="paragraph" w:styleId="CommentText">
    <w:name w:val="annotation text"/>
    <w:basedOn w:val="Normal"/>
    <w:link w:val="CommentTextChar"/>
    <w:uiPriority w:val="99"/>
    <w:unhideWhenUsed/>
    <w:rsid w:val="00897AA5"/>
    <w:rPr>
      <w:sz w:val="20"/>
      <w:szCs w:val="20"/>
    </w:rPr>
  </w:style>
  <w:style w:type="character" w:customStyle="1" w:styleId="CommentTextChar">
    <w:name w:val="Comment Text Char"/>
    <w:basedOn w:val="DefaultParagraphFont"/>
    <w:link w:val="CommentText"/>
    <w:uiPriority w:val="99"/>
    <w:rsid w:val="00897AA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7AA5"/>
    <w:rPr>
      <w:b/>
      <w:bCs/>
    </w:rPr>
  </w:style>
  <w:style w:type="character" w:customStyle="1" w:styleId="CommentSubjectChar">
    <w:name w:val="Comment Subject Char"/>
    <w:basedOn w:val="CommentTextChar"/>
    <w:link w:val="CommentSubject"/>
    <w:uiPriority w:val="99"/>
    <w:semiHidden/>
    <w:rsid w:val="00897AA5"/>
    <w:rPr>
      <w:rFonts w:ascii="Arial" w:hAnsi="Arial"/>
      <w:b/>
      <w:bCs/>
      <w:sz w:val="20"/>
      <w:szCs w:val="20"/>
    </w:rPr>
  </w:style>
  <w:style w:type="paragraph" w:styleId="Revision">
    <w:name w:val="Revision"/>
    <w:hidden/>
    <w:uiPriority w:val="99"/>
    <w:semiHidden/>
    <w:rsid w:val="00897AA5"/>
    <w:pPr>
      <w:spacing w:before="0"/>
    </w:pPr>
    <w:rPr>
      <w:rFonts w:ascii="Arial" w:hAnsi="Arial"/>
    </w:rPr>
  </w:style>
  <w:style w:type="character" w:styleId="FollowedHyperlink">
    <w:name w:val="FollowedHyperlink"/>
    <w:basedOn w:val="DefaultParagraphFont"/>
    <w:uiPriority w:val="99"/>
    <w:semiHidden/>
    <w:unhideWhenUsed/>
    <w:rsid w:val="00897AA5"/>
    <w:rPr>
      <w:color w:val="800080" w:themeColor="followedHyperlink"/>
      <w:u w:val="single"/>
    </w:rPr>
  </w:style>
  <w:style w:type="paragraph" w:styleId="NormalWeb">
    <w:name w:val="Normal (Web)"/>
    <w:basedOn w:val="Normal"/>
    <w:uiPriority w:val="99"/>
    <w:semiHidden/>
    <w:unhideWhenUsed/>
    <w:rsid w:val="00612BC8"/>
    <w:pPr>
      <w:spacing w:before="0" w:after="150" w:line="336" w:lineRule="atLeast"/>
      <w:ind w:right="225"/>
    </w:pPr>
    <w:rPr>
      <w:rFonts w:ascii="Verdana" w:eastAsia="Times New Roman" w:hAnsi="Verdana" w:cs="Times New Roman"/>
      <w:sz w:val="19"/>
      <w:szCs w:val="19"/>
      <w:lang w:eastAsia="en-AU"/>
    </w:rPr>
  </w:style>
  <w:style w:type="numbering" w:customStyle="1" w:styleId="Headings">
    <w:name w:val="Headings"/>
    <w:uiPriority w:val="99"/>
    <w:locked/>
    <w:rsid w:val="00FB0343"/>
    <w:pPr>
      <w:numPr>
        <w:numId w:val="29"/>
      </w:numPr>
    </w:pPr>
  </w:style>
  <w:style w:type="paragraph" w:customStyle="1" w:styleId="Default">
    <w:name w:val="Default"/>
    <w:rsid w:val="00A67967"/>
    <w:pPr>
      <w:autoSpaceDE w:val="0"/>
      <w:autoSpaceDN w:val="0"/>
      <w:adjustRightInd w:val="0"/>
      <w:spacing w:before="0"/>
    </w:pPr>
    <w:rPr>
      <w:rFonts w:ascii="Times New Roman" w:hAnsi="Times New Roman" w:cs="Times New Roman"/>
      <w:color w:val="000000"/>
      <w:sz w:val="24"/>
      <w:szCs w:val="24"/>
    </w:rPr>
  </w:style>
  <w:style w:type="table" w:customStyle="1" w:styleId="MediumGrid31">
    <w:name w:val="Medium Grid 31"/>
    <w:basedOn w:val="TableNormal"/>
    <w:next w:val="MediumGrid3"/>
    <w:uiPriority w:val="60"/>
    <w:rsid w:val="008A507A"/>
    <w:pPr>
      <w:spacing w:before="120" w:after="120"/>
    </w:pPr>
    <w:rPr>
      <w:rFonts w:ascii="Arial" w:eastAsia="Arial" w:hAnsi="Arial" w:cs="Times New Roman"/>
      <w:sz w:val="20"/>
      <w:szCs w:val="20"/>
      <w:lang w:eastAsia="en-AU"/>
    </w:rPr>
    <w:tblPr>
      <w:tblInd w:w="0" w:type="dxa"/>
      <w:tblBorders>
        <w:top w:val="single" w:sz="4" w:space="0" w:color="D5D6D2"/>
        <w:left w:val="single" w:sz="4" w:space="0" w:color="D5D6D2"/>
        <w:bottom w:val="single" w:sz="4" w:space="0" w:color="D5D6D2"/>
        <w:right w:val="single" w:sz="4" w:space="0" w:color="D5D6D2"/>
        <w:insideH w:val="single" w:sz="4" w:space="0" w:color="D5D6D2"/>
        <w:insideV w:val="single" w:sz="4" w:space="0" w:color="D5D6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Arial" w:hAnsi="Arial"/>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tcPr>
    </w:tblStylePr>
    <w:tblStylePr w:type="firstCol">
      <w:rPr>
        <w:b/>
        <w:bCs/>
        <w:sz w:val="20"/>
      </w:rPr>
    </w:tblStylePr>
    <w:tblStylePr w:type="lastCol">
      <w:rPr>
        <w:b/>
        <w:bCs/>
      </w:rPr>
    </w:tblStylePr>
  </w:style>
  <w:style w:type="paragraph" w:customStyle="1" w:styleId="Tablebullet">
    <w:name w:val="Table bullet"/>
    <w:basedOn w:val="Tabletext"/>
    <w:link w:val="TablebulletChar"/>
    <w:qFormat/>
    <w:rsid w:val="0038301A"/>
    <w:pPr>
      <w:numPr>
        <w:numId w:val="31"/>
      </w:numPr>
    </w:pPr>
  </w:style>
  <w:style w:type="character" w:customStyle="1" w:styleId="FootnoteChar">
    <w:name w:val="Footnote Char"/>
    <w:basedOn w:val="DefaultParagraphFont"/>
    <w:link w:val="Footnote"/>
    <w:rsid w:val="006F3A4C"/>
    <w:rPr>
      <w:rFonts w:cstheme="minorHAnsi"/>
      <w:sz w:val="16"/>
      <w:szCs w:val="20"/>
    </w:rPr>
  </w:style>
  <w:style w:type="character" w:customStyle="1" w:styleId="TablebulletChar">
    <w:name w:val="Table bullet Char"/>
    <w:basedOn w:val="TabletextChar"/>
    <w:link w:val="Tablebullet"/>
    <w:rsid w:val="0038301A"/>
    <w:rPr>
      <w:rFonts w:ascii="Arial" w:hAnsi="Arial"/>
      <w:sz w:val="20"/>
    </w:rPr>
  </w:style>
  <w:style w:type="character" w:customStyle="1" w:styleId="FootnoteTextChar">
    <w:name w:val="Footnote Text Char"/>
    <w:basedOn w:val="DefaultParagraphFont"/>
    <w:link w:val="FootnoteText"/>
    <w:uiPriority w:val="2"/>
    <w:rsid w:val="006F3A4C"/>
    <w:rPr>
      <w:rFonts w:ascii="Arial" w:hAnsi="Arial"/>
      <w:sz w:val="16"/>
      <w:szCs w:val="20"/>
    </w:rPr>
  </w:style>
  <w:style w:type="paragraph" w:customStyle="1" w:styleId="LoAtabbedtext">
    <w:name w:val="LoA tabbed text"/>
    <w:basedOn w:val="Normal"/>
    <w:uiPriority w:val="99"/>
    <w:rsid w:val="00F90601"/>
    <w:pPr>
      <w:widowControl w:val="0"/>
      <w:tabs>
        <w:tab w:val="left" w:pos="1134"/>
      </w:tabs>
      <w:suppressAutoHyphens/>
      <w:autoSpaceDE w:val="0"/>
      <w:autoSpaceDN w:val="0"/>
      <w:adjustRightInd w:val="0"/>
      <w:spacing w:before="113" w:line="220" w:lineRule="atLeast"/>
      <w:ind w:left="1134" w:hanging="1134"/>
      <w:textAlignment w:val="center"/>
    </w:pPr>
    <w:rPr>
      <w:rFonts w:ascii="Gotham-Light" w:eastAsia="Times New Roman" w:hAnsi="Gotham-Light" w:cs="Gotham-Light"/>
      <w:color w:val="000000"/>
      <w:spacing w:val="-4"/>
      <w:sz w:val="17"/>
      <w:szCs w:val="17"/>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861620">
      <w:bodyDiv w:val="1"/>
      <w:marLeft w:val="0"/>
      <w:marRight w:val="0"/>
      <w:marTop w:val="0"/>
      <w:marBottom w:val="0"/>
      <w:divBdr>
        <w:top w:val="none" w:sz="0" w:space="0" w:color="auto"/>
        <w:left w:val="none" w:sz="0" w:space="0" w:color="auto"/>
        <w:bottom w:val="none" w:sz="0" w:space="0" w:color="auto"/>
        <w:right w:val="none" w:sz="0" w:space="0" w:color="auto"/>
      </w:divBdr>
      <w:divsChild>
        <w:div w:id="114449531">
          <w:marLeft w:val="0"/>
          <w:marRight w:val="0"/>
          <w:marTop w:val="0"/>
          <w:marBottom w:val="0"/>
          <w:divBdr>
            <w:top w:val="none" w:sz="0" w:space="0" w:color="auto"/>
            <w:left w:val="none" w:sz="0" w:space="0" w:color="auto"/>
            <w:bottom w:val="none" w:sz="0" w:space="0" w:color="auto"/>
            <w:right w:val="none" w:sz="0" w:space="0" w:color="auto"/>
          </w:divBdr>
          <w:divsChild>
            <w:div w:id="1627278815">
              <w:marLeft w:val="0"/>
              <w:marRight w:val="0"/>
              <w:marTop w:val="0"/>
              <w:marBottom w:val="0"/>
              <w:divBdr>
                <w:top w:val="none" w:sz="0" w:space="0" w:color="auto"/>
                <w:left w:val="none" w:sz="0" w:space="0" w:color="auto"/>
                <w:bottom w:val="none" w:sz="0" w:space="0" w:color="auto"/>
                <w:right w:val="none" w:sz="0" w:space="0" w:color="auto"/>
              </w:divBdr>
              <w:divsChild>
                <w:div w:id="642809644">
                  <w:marLeft w:val="0"/>
                  <w:marRight w:val="0"/>
                  <w:marTop w:val="0"/>
                  <w:marBottom w:val="0"/>
                  <w:divBdr>
                    <w:top w:val="none" w:sz="0" w:space="0" w:color="auto"/>
                    <w:left w:val="none" w:sz="0" w:space="0" w:color="auto"/>
                    <w:bottom w:val="none" w:sz="0" w:space="0" w:color="auto"/>
                    <w:right w:val="none" w:sz="0" w:space="0" w:color="auto"/>
                  </w:divBdr>
                  <w:divsChild>
                    <w:div w:id="1447965484">
                      <w:marLeft w:val="0"/>
                      <w:marRight w:val="0"/>
                      <w:marTop w:val="0"/>
                      <w:marBottom w:val="0"/>
                      <w:divBdr>
                        <w:top w:val="none" w:sz="0" w:space="0" w:color="auto"/>
                        <w:left w:val="none" w:sz="0" w:space="0" w:color="auto"/>
                        <w:bottom w:val="none" w:sz="0" w:space="0" w:color="auto"/>
                        <w:right w:val="none" w:sz="0" w:space="0" w:color="auto"/>
                      </w:divBdr>
                      <w:divsChild>
                        <w:div w:id="1673725267">
                          <w:marLeft w:val="0"/>
                          <w:marRight w:val="150"/>
                          <w:marTop w:val="0"/>
                          <w:marBottom w:val="150"/>
                          <w:divBdr>
                            <w:top w:val="none" w:sz="0" w:space="0" w:color="auto"/>
                            <w:left w:val="none" w:sz="0" w:space="0" w:color="auto"/>
                            <w:bottom w:val="none" w:sz="0" w:space="0" w:color="auto"/>
                            <w:right w:val="none" w:sz="0" w:space="0" w:color="auto"/>
                          </w:divBdr>
                          <w:divsChild>
                            <w:div w:id="1882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508391">
      <w:bodyDiv w:val="1"/>
      <w:marLeft w:val="0"/>
      <w:marRight w:val="0"/>
      <w:marTop w:val="0"/>
      <w:marBottom w:val="0"/>
      <w:divBdr>
        <w:top w:val="none" w:sz="0" w:space="0" w:color="auto"/>
        <w:left w:val="none" w:sz="0" w:space="0" w:color="auto"/>
        <w:bottom w:val="none" w:sz="0" w:space="0" w:color="auto"/>
        <w:right w:val="none" w:sz="0" w:space="0" w:color="auto"/>
      </w:divBdr>
    </w:div>
    <w:div w:id="1000350560">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58820470">
      <w:bodyDiv w:val="1"/>
      <w:marLeft w:val="0"/>
      <w:marRight w:val="0"/>
      <w:marTop w:val="0"/>
      <w:marBottom w:val="0"/>
      <w:divBdr>
        <w:top w:val="none" w:sz="0" w:space="0" w:color="auto"/>
        <w:left w:val="none" w:sz="0" w:space="0" w:color="auto"/>
        <w:bottom w:val="none" w:sz="0" w:space="0" w:color="auto"/>
        <w:right w:val="none" w:sz="0" w:space="0" w:color="auto"/>
      </w:divBdr>
    </w:div>
    <w:div w:id="1213275379">
      <w:bodyDiv w:val="1"/>
      <w:marLeft w:val="0"/>
      <w:marRight w:val="0"/>
      <w:marTop w:val="0"/>
      <w:marBottom w:val="0"/>
      <w:divBdr>
        <w:top w:val="none" w:sz="0" w:space="0" w:color="auto"/>
        <w:left w:val="none" w:sz="0" w:space="0" w:color="auto"/>
        <w:bottom w:val="none" w:sz="0" w:space="0" w:color="auto"/>
        <w:right w:val="none" w:sz="0" w:space="0" w:color="auto"/>
      </w:divBdr>
    </w:div>
    <w:div w:id="1239825077">
      <w:bodyDiv w:val="1"/>
      <w:marLeft w:val="0"/>
      <w:marRight w:val="0"/>
      <w:marTop w:val="0"/>
      <w:marBottom w:val="0"/>
      <w:divBdr>
        <w:top w:val="none" w:sz="0" w:space="0" w:color="auto"/>
        <w:left w:val="none" w:sz="0" w:space="0" w:color="auto"/>
        <w:bottom w:val="none" w:sz="0" w:space="0" w:color="auto"/>
        <w:right w:val="none" w:sz="0" w:space="0" w:color="auto"/>
      </w:divBdr>
    </w:div>
    <w:div w:id="1311638765">
      <w:bodyDiv w:val="1"/>
      <w:marLeft w:val="0"/>
      <w:marRight w:val="0"/>
      <w:marTop w:val="0"/>
      <w:marBottom w:val="0"/>
      <w:divBdr>
        <w:top w:val="none" w:sz="0" w:space="0" w:color="auto"/>
        <w:left w:val="none" w:sz="0" w:space="0" w:color="auto"/>
        <w:bottom w:val="none" w:sz="0" w:space="0" w:color="auto"/>
        <w:right w:val="none" w:sz="0" w:space="0" w:color="auto"/>
      </w:divBdr>
      <w:divsChild>
        <w:div w:id="222451270">
          <w:marLeft w:val="0"/>
          <w:marRight w:val="0"/>
          <w:marTop w:val="0"/>
          <w:marBottom w:val="0"/>
          <w:divBdr>
            <w:top w:val="none" w:sz="0" w:space="0" w:color="auto"/>
            <w:left w:val="none" w:sz="0" w:space="0" w:color="auto"/>
            <w:bottom w:val="none" w:sz="0" w:space="0" w:color="auto"/>
            <w:right w:val="none" w:sz="0" w:space="0" w:color="auto"/>
          </w:divBdr>
          <w:divsChild>
            <w:div w:id="994720886">
              <w:marLeft w:val="0"/>
              <w:marRight w:val="0"/>
              <w:marTop w:val="0"/>
              <w:marBottom w:val="0"/>
              <w:divBdr>
                <w:top w:val="none" w:sz="0" w:space="0" w:color="auto"/>
                <w:left w:val="none" w:sz="0" w:space="0" w:color="auto"/>
                <w:bottom w:val="none" w:sz="0" w:space="0" w:color="auto"/>
                <w:right w:val="none" w:sz="0" w:space="0" w:color="auto"/>
              </w:divBdr>
              <w:divsChild>
                <w:div w:id="1683166331">
                  <w:marLeft w:val="150"/>
                  <w:marRight w:val="150"/>
                  <w:marTop w:val="0"/>
                  <w:marBottom w:val="150"/>
                  <w:divBdr>
                    <w:top w:val="none" w:sz="0" w:space="0" w:color="auto"/>
                    <w:left w:val="none" w:sz="0" w:space="0" w:color="auto"/>
                    <w:bottom w:val="none" w:sz="0" w:space="0" w:color="auto"/>
                    <w:right w:val="none" w:sz="0" w:space="0" w:color="auto"/>
                  </w:divBdr>
                  <w:divsChild>
                    <w:div w:id="20474137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40755957">
      <w:bodyDiv w:val="1"/>
      <w:marLeft w:val="0"/>
      <w:marRight w:val="0"/>
      <w:marTop w:val="0"/>
      <w:marBottom w:val="0"/>
      <w:divBdr>
        <w:top w:val="none" w:sz="0" w:space="0" w:color="auto"/>
        <w:left w:val="none" w:sz="0" w:space="0" w:color="auto"/>
        <w:bottom w:val="none" w:sz="0" w:space="0" w:color="auto"/>
        <w:right w:val="none" w:sz="0" w:space="0" w:color="auto"/>
      </w:divBdr>
    </w:div>
    <w:div w:id="1500735472">
      <w:bodyDiv w:val="1"/>
      <w:marLeft w:val="0"/>
      <w:marRight w:val="0"/>
      <w:marTop w:val="0"/>
      <w:marBottom w:val="0"/>
      <w:divBdr>
        <w:top w:val="none" w:sz="0" w:space="0" w:color="auto"/>
        <w:left w:val="none" w:sz="0" w:space="0" w:color="auto"/>
        <w:bottom w:val="none" w:sz="0" w:space="0" w:color="auto"/>
        <w:right w:val="none" w:sz="0" w:space="0" w:color="auto"/>
      </w:divBdr>
    </w:div>
    <w:div w:id="1532575964">
      <w:bodyDiv w:val="1"/>
      <w:marLeft w:val="0"/>
      <w:marRight w:val="0"/>
      <w:marTop w:val="0"/>
      <w:marBottom w:val="0"/>
      <w:divBdr>
        <w:top w:val="none" w:sz="0" w:space="0" w:color="auto"/>
        <w:left w:val="none" w:sz="0" w:space="0" w:color="auto"/>
        <w:bottom w:val="none" w:sz="0" w:space="0" w:color="auto"/>
        <w:right w:val="none" w:sz="0" w:space="0" w:color="auto"/>
      </w:divBdr>
    </w:div>
    <w:div w:id="1802652374">
      <w:bodyDiv w:val="1"/>
      <w:marLeft w:val="0"/>
      <w:marRight w:val="0"/>
      <w:marTop w:val="0"/>
      <w:marBottom w:val="0"/>
      <w:divBdr>
        <w:top w:val="none" w:sz="0" w:space="0" w:color="auto"/>
        <w:left w:val="none" w:sz="0" w:space="0" w:color="auto"/>
        <w:bottom w:val="none" w:sz="0" w:space="0" w:color="auto"/>
        <w:right w:val="none" w:sz="0" w:space="0" w:color="auto"/>
      </w:divBdr>
    </w:div>
    <w:div w:id="207219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0.png"/><Relationship Id="rId84" Type="http://schemas.openxmlformats.org/officeDocument/2006/relationships/image" Target="media/image61.png"/><Relationship Id="rId89" Type="http://schemas.openxmlformats.org/officeDocument/2006/relationships/image" Target="media/image65.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footer" Target="footer2.xml"/><Relationship Id="rId11" Type="http://schemas.openxmlformats.org/officeDocument/2006/relationships/hyperlink" Target="mailto:publishing.unit%40accc.gov.au?subjec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em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emf"/><Relationship Id="rId66" Type="http://schemas.openxmlformats.org/officeDocument/2006/relationships/image" Target="media/image49.png"/><Relationship Id="rId74" Type="http://schemas.openxmlformats.org/officeDocument/2006/relationships/image" Target="media/image54.png"/><Relationship Id="rId79" Type="http://schemas.openxmlformats.org/officeDocument/2006/relationships/image" Target="media/image58.png"/><Relationship Id="rId87" Type="http://schemas.openxmlformats.org/officeDocument/2006/relationships/image" Target="media/image64.png"/><Relationship Id="rId102" Type="http://schemas.openxmlformats.org/officeDocument/2006/relationships/footer" Target="footer1.xml"/><Relationship Id="rId110" Type="http://schemas.openxmlformats.org/officeDocument/2006/relationships/footer" Target="footer4.xml"/><Relationship Id="rId5" Type="http://schemas.microsoft.com/office/2007/relationships/stylesWithEffects" Target="stylesWithEffects.xml"/><Relationship Id="rId61" Type="http://schemas.openxmlformats.org/officeDocument/2006/relationships/hyperlink" Target="http://www.rit.org.au" TargetMode="External"/><Relationship Id="rId82" Type="http://schemas.openxmlformats.org/officeDocument/2006/relationships/image" Target="media/image60.png"/><Relationship Id="rId90" Type="http://schemas.openxmlformats.org/officeDocument/2006/relationships/image" Target="media/image66.png"/><Relationship Id="rId95"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www.g-mwater.com.au/downloads/gmw/Pricing_Table_June15.pdf" TargetMode="External"/><Relationship Id="rId69" Type="http://schemas.openxmlformats.org/officeDocument/2006/relationships/hyperlink" Target="http://www.corurgan.com.au/fees-and-charges" TargetMode="External"/><Relationship Id="rId77" Type="http://schemas.openxmlformats.org/officeDocument/2006/relationships/oleObject" Target="embeddings/oleObject3.bin"/><Relationship Id="rId100" Type="http://schemas.openxmlformats.org/officeDocument/2006/relationships/image" Target="media/image72.png"/><Relationship Id="rId105" Type="http://schemas.openxmlformats.org/officeDocument/2006/relationships/image" Target="media/image75.emf"/><Relationship Id="rId113"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hyperlink" Target="http://www.murrayirrigation.com.au/customers/fees-and-prices/" TargetMode="External"/><Relationship Id="rId80" Type="http://schemas.openxmlformats.org/officeDocument/2006/relationships/hyperlink" Target="http://new.colyirr.com.au/Information/FeesPricing/tabid/135/Default.aspx" TargetMode="External"/><Relationship Id="rId85" Type="http://schemas.openxmlformats.org/officeDocument/2006/relationships/image" Target="media/image62.png"/><Relationship Id="rId93" Type="http://schemas.openxmlformats.org/officeDocument/2006/relationships/image" Target="media/image68.png"/><Relationship Id="rId98" Type="http://schemas.openxmlformats.org/officeDocument/2006/relationships/hyperlink" Target="http://www.tnis.net.au/charges" TargetMode="External"/><Relationship Id="rId3" Type="http://schemas.openxmlformats.org/officeDocument/2006/relationships/numbering" Target="numbering.xml"/><Relationship Id="rId12" Type="http://schemas.openxmlformats.org/officeDocument/2006/relationships/hyperlink" Target="http://www.accc.gov.a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http://www.lmw.vic.gov.au/LowerMurrayWaterSite/media/FactSheetsBrochures/Tariffs/2015-2016/Rural-Tariffs-2015-2016.pdf" TargetMode="External"/><Relationship Id="rId103" Type="http://schemas.openxmlformats.org/officeDocument/2006/relationships/image" Target="media/image74.emf"/><Relationship Id="rId108" Type="http://schemas.openxmlformats.org/officeDocument/2006/relationships/hyperlink" Target="http://www.sunwater.com.au/schemes" TargetMode="External"/><Relationship Id="rId20" Type="http://schemas.openxmlformats.org/officeDocument/2006/relationships/image" Target="media/image9.png"/><Relationship Id="rId41" Type="http://schemas.openxmlformats.org/officeDocument/2006/relationships/oleObject" Target="embeddings/oleObject2.bin"/><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hyperlink" Target="http://www.mirrigation.com.au/Customers/Schedule-of-Charges" TargetMode="External"/><Relationship Id="rId88" Type="http://schemas.openxmlformats.org/officeDocument/2006/relationships/hyperlink" Target="http://www.haypid.com.au/fees_and_charges.html" TargetMode="External"/><Relationship Id="rId91" Type="http://schemas.openxmlformats.org/officeDocument/2006/relationships/image" Target="media/image67.png"/><Relationship Id="rId96" Type="http://schemas.openxmlformats.org/officeDocument/2006/relationships/image" Target="media/image70.emf"/><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hyperlink" Target="http://cit.org.au/" TargetMode="External"/><Relationship Id="rId106" Type="http://schemas.openxmlformats.org/officeDocument/2006/relationships/oleObject" Target="embeddings/oleObject6.bin"/><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hyperlink" Target="http://www.waternsw.com.au/customer-service/pricing/rural/regulated-charges/regulated-river-prices-for-1-july-2015-30-june-2016" TargetMode="External"/><Relationship Id="rId52" Type="http://schemas.openxmlformats.org/officeDocument/2006/relationships/image" Target="media/image38.png"/><Relationship Id="rId60" Type="http://schemas.openxmlformats.org/officeDocument/2006/relationships/image" Target="media/image45.emf"/><Relationship Id="rId65" Type="http://schemas.openxmlformats.org/officeDocument/2006/relationships/image" Target="media/image48.png"/><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image" Target="media/image63.png"/><Relationship Id="rId94" Type="http://schemas.openxmlformats.org/officeDocument/2006/relationships/hyperlink" Target="http://narromineirrigation.com.au/index.html" TargetMode="External"/><Relationship Id="rId99" Type="http://schemas.openxmlformats.org/officeDocument/2006/relationships/image" Target="media/image71.png"/><Relationship Id="rId101" Type="http://schemas.openxmlformats.org/officeDocument/2006/relationships/image" Target="media/image73.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oleObject" Target="embeddings/oleObject1.bin"/><Relationship Id="rId109" Type="http://schemas.openxmlformats.org/officeDocument/2006/relationships/footer" Target="footer3.xm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6.emf"/><Relationship Id="rId97" Type="http://schemas.openxmlformats.org/officeDocument/2006/relationships/oleObject" Target="embeddings/oleObject4.bin"/><Relationship Id="rId104" Type="http://schemas.openxmlformats.org/officeDocument/2006/relationships/oleObject" Target="embeddings/oleObject5.bin"/><Relationship Id="rId7" Type="http://schemas.openxmlformats.org/officeDocument/2006/relationships/webSettings" Target="webSettings.xml"/><Relationship Id="rId71" Type="http://schemas.openxmlformats.org/officeDocument/2006/relationships/image" Target="media/image52.png"/><Relationship Id="rId92" Type="http://schemas.openxmlformats.org/officeDocument/2006/relationships/hyperlink" Target="http://jemalongirrigation.com.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liban.com.au/site/root/your_account/documents/Ruraltransferandadminfee_July2014&#8722;15.pdf" TargetMode="External"/><Relationship Id="rId13" Type="http://schemas.openxmlformats.org/officeDocument/2006/relationships/hyperlink" Target="http://ewr.water.nsw.gov.au/ewr/main/ewrHome" TargetMode="External"/><Relationship Id="rId3" Type="http://schemas.openxmlformats.org/officeDocument/2006/relationships/hyperlink" Target="http://www.water.nsw.gov.au/__data/assets/pdf_file/0020/547112/price_water_mgt_transaction_fees_for_access_licences.pdf" TargetMode="External"/><Relationship Id="rId7" Type="http://schemas.openxmlformats.org/officeDocument/2006/relationships/hyperlink" Target="https://waterregister.vic.gov.au/images/documents/water_use_licences_in_salinity_impact_zone_policies.pdf" TargetMode="External"/><Relationship Id="rId12" Type="http://schemas.openxmlformats.org/officeDocument/2006/relationships/hyperlink" Target="https://www.accc.gov.au/publications/guidelines-on-goods-services-tax-termination-fees" TargetMode="External"/><Relationship Id="rId2" Type="http://schemas.openxmlformats.org/officeDocument/2006/relationships/hyperlink" Target="http://www.lpi.nsw.gov.au/land_titles/public_registers/water_access_licence_register" TargetMode="External"/><Relationship Id="rId1" Type="http://schemas.openxmlformats.org/officeDocument/2006/relationships/hyperlink" Target="https://www.ipart.nsw.gov.au/files/sharedassets/website/trimholdingbay/fact_sheet_-_prices_and_bills_for_groundwater_users_-_no_change_in_2015-16_-_july_2015.pdf" TargetMode="External"/><Relationship Id="rId6" Type="http://schemas.openxmlformats.org/officeDocument/2006/relationships/hyperlink" Target="http://www.lmw.vic.gov.au/LowerMurrayWaterSite/media/FactSheetsBrochures/Tariffs/2015-2016/Rural-Tariffs-2015-2016.pdf" TargetMode="External"/><Relationship Id="rId11" Type="http://schemas.openxmlformats.org/officeDocument/2006/relationships/hyperlink" Target="https://waterregister.vic.gov.au/about/index.php?option=com_glossary&amp;view=items&amp;Itemid=136&amp;term_id=28" TargetMode="External"/><Relationship Id="rId5" Type="http://schemas.openxmlformats.org/officeDocument/2006/relationships/hyperlink" Target="http://www.gmwater.com.au/downloads/gmw/Pricing_Table_June15.pdf" TargetMode="External"/><Relationship Id="rId15" Type="http://schemas.openxmlformats.org/officeDocument/2006/relationships/hyperlink" Target="http://www.environment.act.gov.au/water/water-regulation/water_trading" TargetMode="External"/><Relationship Id="rId10" Type="http://schemas.openxmlformats.org/officeDocument/2006/relationships/hyperlink" Target="http://www.lmw.vic.gov.au/LowerMurrayWaterSite/media/FactSheetsBrochures/Govt%20Issued/WCPMIRulesPublication2011-2012.pdf" TargetMode="External"/><Relationship Id="rId4" Type="http://schemas.openxmlformats.org/officeDocument/2006/relationships/hyperlink" Target="http://www.esc.vic.gov.au/wp-content/uploads/esc/31/318948ed-1c0f-4849-b81f-7ae4809f154d.pdf" TargetMode="External"/><Relationship Id="rId9" Type="http://schemas.openxmlformats.org/officeDocument/2006/relationships/hyperlink" Target="http://www.g-mwater.com.au/downloads/gmw/customerServices/feesAndCharges/TATDOC-_3204018-v2-PLANNING_MANAGEMENT_INFORMATION_RULES_FEE_DESCRIPTIONS_-_2011_12.pdf" TargetMode="External"/><Relationship Id="rId14" Type="http://schemas.openxmlformats.org/officeDocument/2006/relationships/hyperlink" Target="http://www.water.nsw.gov.au/__data/assets/pdf_file/0020/547112/price_water_mgt_transaction_fees_for_access_licenc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ACCC%20Report%20Template.dotm"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E5DA75-2143-4531-8D40-EDF47EF89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ACCC Report Template</Template>
  <TotalTime>0</TotalTime>
  <Pages>149</Pages>
  <Words>21819</Words>
  <Characters>120064</Characters>
  <Application>Microsoft Office Word</Application>
  <DocSecurity>0</DocSecurity>
  <Lines>3258</Lines>
  <Paragraphs>1741</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141035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Lalor, David</dc:creator>
  <cp:lastModifiedBy>Lovius, Leo</cp:lastModifiedBy>
  <cp:revision>2</cp:revision>
  <cp:lastPrinted>2017-05-12T01:42:00Z</cp:lastPrinted>
  <dcterms:created xsi:type="dcterms:W3CDTF">2017-06-16T04:03:00Z</dcterms:created>
  <dcterms:modified xsi:type="dcterms:W3CDTF">2017-06-16T04:03:00Z</dcterms:modified>
</cp:coreProperties>
</file>